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9390" w14:textId="7194662D" w:rsidR="00001C92" w:rsidRDefault="00001C92" w:rsidP="00D627B3">
      <w:pPr>
        <w:spacing w:line="360" w:lineRule="auto"/>
        <w:rPr>
          <w:lang w:val="en-GB"/>
        </w:rPr>
      </w:pPr>
      <w:r>
        <w:rPr>
          <w:lang w:val="en-GB"/>
        </w:rPr>
        <w:t>Supplementary online appendices</w:t>
      </w:r>
    </w:p>
    <w:p w14:paraId="2827FB5E" w14:textId="3FE1ED7E" w:rsidR="004B3058" w:rsidRPr="0060752A" w:rsidRDefault="004B3058" w:rsidP="0082677E">
      <w:pPr>
        <w:pStyle w:val="Heading2"/>
        <w:rPr>
          <w:lang w:val="en-GB"/>
        </w:rPr>
      </w:pPr>
      <w:r w:rsidRPr="0060752A">
        <w:rPr>
          <w:lang w:val="en-GB"/>
        </w:rPr>
        <w:t>Appendix A</w:t>
      </w:r>
      <w:r w:rsidR="0082677E">
        <w:rPr>
          <w:lang w:val="en-GB"/>
        </w:rPr>
        <w:t>.</w:t>
      </w:r>
      <w:r w:rsidRPr="0060752A">
        <w:rPr>
          <w:lang w:val="en-GB"/>
        </w:rPr>
        <w:t xml:space="preserve"> Additional tables </w:t>
      </w:r>
      <w:r w:rsidR="002101FC" w:rsidRPr="0060752A">
        <w:rPr>
          <w:lang w:val="en-GB"/>
        </w:rPr>
        <w:t>and figures</w:t>
      </w:r>
    </w:p>
    <w:p w14:paraId="4411A29E" w14:textId="77777777" w:rsidR="004B3058" w:rsidRPr="0060752A" w:rsidRDefault="004B3058" w:rsidP="004B3058">
      <w:pPr>
        <w:jc w:val="both"/>
        <w:rPr>
          <w:lang w:val="en-GB"/>
        </w:rPr>
      </w:pPr>
    </w:p>
    <w:p w14:paraId="73985B64" w14:textId="48C98FC6" w:rsidR="004B3058" w:rsidRPr="0060752A" w:rsidRDefault="004B3058" w:rsidP="004B3058">
      <w:pPr>
        <w:jc w:val="both"/>
        <w:rPr>
          <w:lang w:val="en-GB"/>
        </w:rPr>
      </w:pPr>
      <w:r w:rsidRPr="0060752A">
        <w:rPr>
          <w:lang w:val="en-GB"/>
        </w:rPr>
        <w:t xml:space="preserve">Table </w:t>
      </w:r>
      <w:r w:rsidR="00001C92">
        <w:rPr>
          <w:lang w:val="en-GB"/>
        </w:rPr>
        <w:t>S</w:t>
      </w:r>
      <w:r w:rsidRPr="0060752A">
        <w:rPr>
          <w:lang w:val="en-GB"/>
        </w:rPr>
        <w:t xml:space="preserve">A1. The Big Five dimensions and facets </w:t>
      </w:r>
    </w:p>
    <w:tbl>
      <w:tblPr>
        <w:tblStyle w:val="TableGrid"/>
        <w:tblW w:w="9271" w:type="dxa"/>
        <w:tblBorders>
          <w:top w:val="double" w:sz="4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3397"/>
        <w:gridCol w:w="3318"/>
      </w:tblGrid>
      <w:tr w:rsidR="004B3058" w:rsidRPr="0060752A" w14:paraId="47F99DB7" w14:textId="77777777" w:rsidTr="00087E09">
        <w:trPr>
          <w:trHeight w:val="320"/>
        </w:trPr>
        <w:tc>
          <w:tcPr>
            <w:tcW w:w="2496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36F6FCEC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>Big Five dimension</w:t>
            </w:r>
          </w:p>
        </w:tc>
        <w:tc>
          <w:tcPr>
            <w:tcW w:w="3317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3C51AB4C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>Definition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242559FA" w14:textId="62400023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Facets (and </w:t>
            </w:r>
            <w:r w:rsidR="00F91DE0">
              <w:rPr>
                <w:lang w:val="en-GB"/>
              </w:rPr>
              <w:t>c</w:t>
            </w:r>
            <w:r w:rsidRPr="0060752A">
              <w:rPr>
                <w:lang w:val="en-GB"/>
              </w:rPr>
              <w:t xml:space="preserve">orrelated </w:t>
            </w:r>
            <w:r w:rsidR="00F91DE0">
              <w:rPr>
                <w:lang w:val="en-GB"/>
              </w:rPr>
              <w:t>t</w:t>
            </w:r>
            <w:r w:rsidRPr="0060752A">
              <w:rPr>
                <w:lang w:val="en-GB"/>
              </w:rPr>
              <w:t xml:space="preserve">rait </w:t>
            </w:r>
            <w:r w:rsidR="00F91DE0">
              <w:rPr>
                <w:lang w:val="en-GB"/>
              </w:rPr>
              <w:t>a</w:t>
            </w:r>
            <w:r w:rsidRPr="0060752A">
              <w:rPr>
                <w:lang w:val="en-GB"/>
              </w:rPr>
              <w:t xml:space="preserve">djective) </w:t>
            </w:r>
          </w:p>
        </w:tc>
      </w:tr>
      <w:tr w:rsidR="004B3058" w:rsidRPr="0060752A" w14:paraId="1C8C516C" w14:textId="77777777" w:rsidTr="003B568D">
        <w:trPr>
          <w:trHeight w:val="320"/>
        </w:trPr>
        <w:tc>
          <w:tcPr>
            <w:tcW w:w="2496" w:type="dxa"/>
            <w:tcBorders>
              <w:top w:val="single" w:sz="4" w:space="0" w:color="auto"/>
            </w:tcBorders>
            <w:noWrap/>
            <w:hideMark/>
          </w:tcPr>
          <w:p w14:paraId="4E2463C6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Conscientiousness </w:t>
            </w:r>
          </w:p>
        </w:tc>
        <w:tc>
          <w:tcPr>
            <w:tcW w:w="3317" w:type="dxa"/>
            <w:tcBorders>
              <w:top w:val="single" w:sz="4" w:space="0" w:color="auto"/>
            </w:tcBorders>
            <w:noWrap/>
            <w:hideMark/>
          </w:tcPr>
          <w:p w14:paraId="65148B27" w14:textId="6DB90A0F" w:rsidR="004B3058" w:rsidRPr="0060752A" w:rsidRDefault="00AF1EE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>T</w:t>
            </w:r>
            <w:r w:rsidR="004B3058" w:rsidRPr="0060752A">
              <w:rPr>
                <w:lang w:val="en-GB"/>
              </w:rPr>
              <w:t>he tendency to be organized, responsible and hardworking</w:t>
            </w:r>
            <w:r w:rsidRPr="0060752A">
              <w:rPr>
                <w:lang w:val="en-GB"/>
              </w:rPr>
              <w:t>.</w:t>
            </w:r>
            <w:r w:rsidR="004B3058" w:rsidRPr="0060752A">
              <w:rPr>
                <w:lang w:val="en-GB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noWrap/>
            <w:hideMark/>
          </w:tcPr>
          <w:p w14:paraId="602B4A68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Competence (efficient) </w:t>
            </w:r>
          </w:p>
          <w:p w14:paraId="77D25F8E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Order (organized) </w:t>
            </w:r>
          </w:p>
          <w:p w14:paraId="5CA8BA61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Dutifulness (not careless) Achievement striving (ambitious) </w:t>
            </w:r>
          </w:p>
          <w:p w14:paraId="5002F560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Self-discipline (not lazy) Deliberation (not impulsive) </w:t>
            </w:r>
          </w:p>
        </w:tc>
      </w:tr>
      <w:tr w:rsidR="004B3058" w:rsidRPr="0060752A" w14:paraId="40175D32" w14:textId="77777777" w:rsidTr="003B568D">
        <w:trPr>
          <w:trHeight w:val="320"/>
        </w:trPr>
        <w:tc>
          <w:tcPr>
            <w:tcW w:w="2496" w:type="dxa"/>
            <w:noWrap/>
            <w:hideMark/>
          </w:tcPr>
          <w:p w14:paraId="4E1C6524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>Extraversion</w:t>
            </w:r>
          </w:p>
        </w:tc>
        <w:tc>
          <w:tcPr>
            <w:tcW w:w="3317" w:type="dxa"/>
            <w:noWrap/>
            <w:hideMark/>
          </w:tcPr>
          <w:p w14:paraId="3260E5CE" w14:textId="10EE7BC7" w:rsidR="004B3058" w:rsidRPr="0060752A" w:rsidRDefault="00AF1EE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>An</w:t>
            </w:r>
            <w:r w:rsidR="004B3058" w:rsidRPr="0060752A">
              <w:rPr>
                <w:lang w:val="en-GB"/>
              </w:rPr>
              <w:t xml:space="preserve"> orientation of one’s interests and energies toward</w:t>
            </w:r>
            <w:r w:rsidR="00AA5523">
              <w:rPr>
                <w:lang w:val="en-GB"/>
              </w:rPr>
              <w:t>s</w:t>
            </w:r>
            <w:r w:rsidR="004B3058" w:rsidRPr="0060752A">
              <w:rPr>
                <w:lang w:val="en-GB"/>
              </w:rPr>
              <w:t xml:space="preserve"> the outer world of people and things rather than the inner world of subjective experience</w:t>
            </w:r>
            <w:r w:rsidRPr="0060752A">
              <w:rPr>
                <w:lang w:val="en-GB"/>
              </w:rPr>
              <w:t>,</w:t>
            </w:r>
            <w:r w:rsidR="004B3058" w:rsidRPr="0060752A">
              <w:rPr>
                <w:lang w:val="en-GB"/>
              </w:rPr>
              <w:t xml:space="preserve"> characterized by positive affect and sociability</w:t>
            </w:r>
            <w:r w:rsidRPr="0060752A">
              <w:rPr>
                <w:lang w:val="en-GB"/>
              </w:rPr>
              <w:t>.</w:t>
            </w:r>
          </w:p>
        </w:tc>
        <w:tc>
          <w:tcPr>
            <w:tcW w:w="3240" w:type="dxa"/>
            <w:noWrap/>
            <w:hideMark/>
          </w:tcPr>
          <w:p w14:paraId="4A5CCD80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Warmth (friendly) </w:t>
            </w:r>
          </w:p>
          <w:p w14:paraId="65449425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Gregariousness (sociable) Assertiveness (self-confident) Activity (energetic) </w:t>
            </w:r>
          </w:p>
          <w:p w14:paraId="12F437D2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Excitement seeking (adventurous) </w:t>
            </w:r>
          </w:p>
          <w:p w14:paraId="3E0E27BD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Positive emotions (enthusiastic) </w:t>
            </w:r>
          </w:p>
        </w:tc>
      </w:tr>
      <w:tr w:rsidR="004B3058" w:rsidRPr="0060752A" w14:paraId="6725E9E0" w14:textId="77777777" w:rsidTr="003B568D">
        <w:trPr>
          <w:trHeight w:val="320"/>
        </w:trPr>
        <w:tc>
          <w:tcPr>
            <w:tcW w:w="2496" w:type="dxa"/>
            <w:noWrap/>
            <w:hideMark/>
          </w:tcPr>
          <w:p w14:paraId="5B5F1157" w14:textId="3B2A5B0C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Openness to </w:t>
            </w:r>
            <w:r w:rsidR="00B064FA">
              <w:rPr>
                <w:lang w:val="en-GB"/>
              </w:rPr>
              <w:t>e</w:t>
            </w:r>
            <w:r w:rsidRPr="0060752A">
              <w:rPr>
                <w:lang w:val="en-GB"/>
              </w:rPr>
              <w:t>xperience</w:t>
            </w:r>
          </w:p>
        </w:tc>
        <w:tc>
          <w:tcPr>
            <w:tcW w:w="3317" w:type="dxa"/>
            <w:noWrap/>
            <w:hideMark/>
          </w:tcPr>
          <w:p w14:paraId="69293010" w14:textId="25FB0869" w:rsidR="004B3058" w:rsidRPr="0060752A" w:rsidRDefault="00AF1EE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>T</w:t>
            </w:r>
            <w:r w:rsidR="004B3058" w:rsidRPr="0060752A">
              <w:rPr>
                <w:lang w:val="en-GB"/>
              </w:rPr>
              <w:t>he tendency to be open to new aesthetic, cultural or intellectual experiences</w:t>
            </w:r>
            <w:r w:rsidRPr="0060752A">
              <w:rPr>
                <w:lang w:val="en-GB"/>
              </w:rPr>
              <w:t>.</w:t>
            </w:r>
          </w:p>
        </w:tc>
        <w:tc>
          <w:tcPr>
            <w:tcW w:w="3240" w:type="dxa"/>
            <w:noWrap/>
            <w:hideMark/>
          </w:tcPr>
          <w:p w14:paraId="6C25C082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Fantasy (imaginative) </w:t>
            </w:r>
          </w:p>
          <w:p w14:paraId="7F572E3D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Aesthetic (artistic) </w:t>
            </w:r>
          </w:p>
          <w:p w14:paraId="4E95D378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Feelings (excitable) </w:t>
            </w:r>
          </w:p>
          <w:p w14:paraId="64DE7F6E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Actions (wide interests) </w:t>
            </w:r>
          </w:p>
          <w:p w14:paraId="46CB7AD3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Ideas (curious) </w:t>
            </w:r>
          </w:p>
          <w:p w14:paraId="0733BEA8" w14:textId="77777777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Values (unconventional) </w:t>
            </w:r>
          </w:p>
        </w:tc>
      </w:tr>
      <w:tr w:rsidR="004B3058" w:rsidRPr="0060752A" w14:paraId="729E0D3B" w14:textId="6FE81D2B" w:rsidTr="003B568D">
        <w:trPr>
          <w:trHeight w:val="320"/>
        </w:trPr>
        <w:tc>
          <w:tcPr>
            <w:tcW w:w="2496" w:type="dxa"/>
            <w:noWrap/>
            <w:hideMark/>
          </w:tcPr>
          <w:p w14:paraId="348A3514" w14:textId="4C08B566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>Agreeableness</w:t>
            </w:r>
          </w:p>
        </w:tc>
        <w:tc>
          <w:tcPr>
            <w:tcW w:w="3317" w:type="dxa"/>
            <w:noWrap/>
            <w:hideMark/>
          </w:tcPr>
          <w:p w14:paraId="35232006" w14:textId="0E696507" w:rsidR="004B3058" w:rsidRPr="0060752A" w:rsidRDefault="00AF1EE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>T</w:t>
            </w:r>
            <w:r w:rsidR="004B3058" w:rsidRPr="0060752A">
              <w:rPr>
                <w:lang w:val="en-GB"/>
              </w:rPr>
              <w:t>he tendency to act in a cooperative, unselfish manner</w:t>
            </w:r>
            <w:r w:rsidR="001540FA">
              <w:rPr>
                <w:lang w:val="en-GB"/>
              </w:rPr>
              <w:t>.</w:t>
            </w:r>
            <w:r w:rsidR="004B3058" w:rsidRPr="0060752A">
              <w:rPr>
                <w:lang w:val="en-GB"/>
              </w:rPr>
              <w:t xml:space="preserve"> </w:t>
            </w:r>
          </w:p>
        </w:tc>
        <w:tc>
          <w:tcPr>
            <w:tcW w:w="3240" w:type="dxa"/>
            <w:noWrap/>
            <w:hideMark/>
          </w:tcPr>
          <w:p w14:paraId="1F906544" w14:textId="7C54D771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Trust (forgiving) Straightforwardness (not demanding) </w:t>
            </w:r>
          </w:p>
          <w:p w14:paraId="0189A871" w14:textId="126EBE6D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Altruism (warm) </w:t>
            </w:r>
          </w:p>
          <w:p w14:paraId="190F9626" w14:textId="44641875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Compliance (not stubborn) </w:t>
            </w:r>
          </w:p>
          <w:p w14:paraId="05FFF1E5" w14:textId="78E74929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Modesty (not show-off) </w:t>
            </w:r>
          </w:p>
          <w:p w14:paraId="46EFA51C" w14:textId="6FA6DFE4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Tender-mindedness (sympathetic) </w:t>
            </w:r>
          </w:p>
        </w:tc>
      </w:tr>
      <w:tr w:rsidR="004B3058" w:rsidRPr="0060752A" w14:paraId="7D6A75AF" w14:textId="1F2EF001" w:rsidTr="003B568D">
        <w:trPr>
          <w:trHeight w:val="320"/>
        </w:trPr>
        <w:tc>
          <w:tcPr>
            <w:tcW w:w="2496" w:type="dxa"/>
            <w:noWrap/>
            <w:hideMark/>
          </w:tcPr>
          <w:p w14:paraId="346E81BA" w14:textId="4111D151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Emotional </w:t>
            </w:r>
            <w:r w:rsidR="00FA5358">
              <w:rPr>
                <w:lang w:val="en-GB"/>
              </w:rPr>
              <w:t>s</w:t>
            </w:r>
            <w:r w:rsidRPr="0060752A">
              <w:rPr>
                <w:lang w:val="en-GB"/>
              </w:rPr>
              <w:t>tability/Neuroticism</w:t>
            </w:r>
          </w:p>
        </w:tc>
        <w:tc>
          <w:tcPr>
            <w:tcW w:w="3317" w:type="dxa"/>
            <w:noWrap/>
            <w:hideMark/>
          </w:tcPr>
          <w:p w14:paraId="0E7388A0" w14:textId="2BB1D4A6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Emotional stability: predictability and consistency in emotional reactions, with absence of rapid mood changes. Neuroticism: a chronic level of emotional instability and proneness to psychological distress. </w:t>
            </w:r>
          </w:p>
        </w:tc>
        <w:tc>
          <w:tcPr>
            <w:tcW w:w="3240" w:type="dxa"/>
            <w:noWrap/>
            <w:hideMark/>
          </w:tcPr>
          <w:p w14:paraId="014D239E" w14:textId="534A5CD9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Anxiety (worrying) </w:t>
            </w:r>
          </w:p>
          <w:p w14:paraId="075C0E70" w14:textId="27FD81F9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Hostility (irritable) </w:t>
            </w:r>
          </w:p>
          <w:p w14:paraId="71A28E57" w14:textId="3B4226E1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Depression (not contented) </w:t>
            </w:r>
          </w:p>
          <w:p w14:paraId="043B9908" w14:textId="1880C5BF" w:rsidR="004B3058" w:rsidRPr="0060752A" w:rsidRDefault="004B3058" w:rsidP="00E87C55">
            <w:pPr>
              <w:rPr>
                <w:lang w:val="en-GB"/>
              </w:rPr>
            </w:pPr>
            <w:r w:rsidRPr="0060752A">
              <w:rPr>
                <w:lang w:val="en-GB"/>
              </w:rPr>
              <w:t xml:space="preserve">Self-consciousness (shy) Impulsiveness (moody) Vulnerability to stress (not self-confident) </w:t>
            </w:r>
          </w:p>
        </w:tc>
      </w:tr>
    </w:tbl>
    <w:p w14:paraId="7831BA19" w14:textId="71EFDE62" w:rsidR="004B3058" w:rsidRPr="0060752A" w:rsidRDefault="004E3FE7" w:rsidP="004B3058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Source</w:t>
      </w:r>
      <w:r w:rsidR="004B3058" w:rsidRPr="0060752A">
        <w:rPr>
          <w:sz w:val="20"/>
          <w:szCs w:val="20"/>
          <w:lang w:val="en-GB"/>
        </w:rPr>
        <w:t xml:space="preserve">: Definitions are </w:t>
      </w:r>
      <w:r w:rsidR="008F5095">
        <w:rPr>
          <w:sz w:val="20"/>
          <w:szCs w:val="20"/>
          <w:lang w:val="en-GB"/>
        </w:rPr>
        <w:t xml:space="preserve">drawn </w:t>
      </w:r>
      <w:r w:rsidR="004B3058" w:rsidRPr="0060752A">
        <w:rPr>
          <w:sz w:val="20"/>
          <w:szCs w:val="20"/>
          <w:lang w:val="en-GB"/>
        </w:rPr>
        <w:t xml:space="preserve">from the </w:t>
      </w:r>
      <w:r w:rsidR="003705CD">
        <w:rPr>
          <w:sz w:val="20"/>
          <w:szCs w:val="20"/>
          <w:lang w:val="en-GB"/>
        </w:rPr>
        <w:t>APA</w:t>
      </w:r>
      <w:r w:rsidR="004B3058" w:rsidRPr="0060752A">
        <w:rPr>
          <w:sz w:val="20"/>
          <w:szCs w:val="20"/>
          <w:lang w:val="en-GB"/>
        </w:rPr>
        <w:t xml:space="preserve"> Dictionary</w:t>
      </w:r>
      <w:r w:rsidR="003705CD">
        <w:rPr>
          <w:sz w:val="20"/>
          <w:szCs w:val="20"/>
          <w:lang w:val="en-GB"/>
        </w:rPr>
        <w:t xml:space="preserve"> of Psychology</w:t>
      </w:r>
      <w:r w:rsidR="004B3058" w:rsidRPr="0060752A">
        <w:rPr>
          <w:sz w:val="20"/>
          <w:szCs w:val="20"/>
          <w:lang w:val="en-GB"/>
        </w:rPr>
        <w:t>. Table adapted from Almlund et al. (2011).</w:t>
      </w:r>
    </w:p>
    <w:p w14:paraId="26BD5748" w14:textId="77777777" w:rsidR="004B3058" w:rsidRPr="0060752A" w:rsidRDefault="004B3058" w:rsidP="00293D82">
      <w:pPr>
        <w:spacing w:line="480" w:lineRule="auto"/>
        <w:jc w:val="both"/>
        <w:rPr>
          <w:lang w:val="en-GB"/>
        </w:rPr>
      </w:pPr>
    </w:p>
    <w:p w14:paraId="48CA24EC" w14:textId="77777777" w:rsidR="004B3058" w:rsidRPr="0060752A" w:rsidRDefault="004B3058" w:rsidP="00293D82">
      <w:pPr>
        <w:spacing w:line="480" w:lineRule="auto"/>
        <w:jc w:val="both"/>
        <w:rPr>
          <w:lang w:val="en-GB"/>
        </w:rPr>
      </w:pPr>
    </w:p>
    <w:p w14:paraId="6CF4C740" w14:textId="068A2FE2" w:rsidR="00203086" w:rsidRPr="0060752A" w:rsidRDefault="00ED071E" w:rsidP="00293D82">
      <w:pPr>
        <w:spacing w:line="480" w:lineRule="auto"/>
        <w:rPr>
          <w:lang w:val="en-GB"/>
        </w:rPr>
      </w:pPr>
      <w:r>
        <w:rPr>
          <w:lang w:val="en-GB"/>
        </w:rPr>
        <w:br w:type="page"/>
      </w:r>
    </w:p>
    <w:tbl>
      <w:tblPr>
        <w:tblpPr w:leftFromText="180" w:rightFromText="180" w:vertAnchor="text" w:horzAnchor="margin" w:tblpY="378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028"/>
        <w:gridCol w:w="1245"/>
        <w:gridCol w:w="1028"/>
        <w:gridCol w:w="978"/>
        <w:gridCol w:w="776"/>
        <w:gridCol w:w="1245"/>
        <w:gridCol w:w="747"/>
      </w:tblGrid>
      <w:tr w:rsidR="0062310B" w:rsidRPr="00D30B4F" w14:paraId="45FEC2AD" w14:textId="77777777" w:rsidTr="00D30B4F">
        <w:trPr>
          <w:trHeight w:val="573"/>
        </w:trPr>
        <w:tc>
          <w:tcPr>
            <w:tcW w:w="1094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14:paraId="0B54F45A" w14:textId="77777777" w:rsidR="00C82D81" w:rsidRPr="00D30B4F" w:rsidRDefault="00C82D81" w:rsidP="00D57FB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70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AF534" w14:textId="4CA4C179" w:rsidR="00C82D81" w:rsidRPr="00D30B4F" w:rsidRDefault="00C82D81" w:rsidP="00AD3DBC">
            <w:pPr>
              <w:jc w:val="both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 xml:space="preserve">Disagree strongly </w:t>
            </w:r>
          </w:p>
        </w:tc>
        <w:tc>
          <w:tcPr>
            <w:tcW w:w="690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C0F12" w14:textId="622F11E8" w:rsidR="00C82D81" w:rsidRPr="00D30B4F" w:rsidRDefault="00C82D81" w:rsidP="00AD3DBC">
            <w:pPr>
              <w:jc w:val="both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Disagree moderately</w:t>
            </w:r>
          </w:p>
        </w:tc>
        <w:tc>
          <w:tcPr>
            <w:tcW w:w="570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4E61C" w14:textId="134A0278" w:rsidR="00C82D81" w:rsidRPr="00D30B4F" w:rsidRDefault="00C82D81" w:rsidP="00AD3DBC">
            <w:pPr>
              <w:jc w:val="both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Disagree a little</w:t>
            </w:r>
          </w:p>
        </w:tc>
        <w:tc>
          <w:tcPr>
            <w:tcW w:w="542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4A5E1" w14:textId="21FFAD39" w:rsidR="00C82D81" w:rsidRPr="00D30B4F" w:rsidRDefault="00C82D81" w:rsidP="00AD3DBC">
            <w:pPr>
              <w:jc w:val="both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Neither agree nor disagree</w:t>
            </w:r>
          </w:p>
        </w:tc>
        <w:tc>
          <w:tcPr>
            <w:tcW w:w="430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A1E7C" w14:textId="69497ABF" w:rsidR="00C82D81" w:rsidRPr="00D30B4F" w:rsidRDefault="00C82D81" w:rsidP="00AD3DBC">
            <w:pPr>
              <w:jc w:val="both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Agree a little</w:t>
            </w:r>
          </w:p>
        </w:tc>
        <w:tc>
          <w:tcPr>
            <w:tcW w:w="690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B3096" w14:textId="2E8AF537" w:rsidR="00C82D81" w:rsidRPr="00D30B4F" w:rsidRDefault="00C82D81" w:rsidP="00AD3DBC">
            <w:pPr>
              <w:jc w:val="both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Agree moderately</w:t>
            </w:r>
          </w:p>
        </w:tc>
        <w:tc>
          <w:tcPr>
            <w:tcW w:w="414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14:paraId="2C7956AC" w14:textId="2A764BAF" w:rsidR="00C82D81" w:rsidRPr="00D30B4F" w:rsidRDefault="00C82D81" w:rsidP="00AD3DBC">
            <w:pPr>
              <w:jc w:val="both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Agree strongly</w:t>
            </w:r>
          </w:p>
        </w:tc>
      </w:tr>
      <w:tr w:rsidR="0062310B" w:rsidRPr="00D30B4F" w14:paraId="3BFD4568" w14:textId="77777777" w:rsidTr="00D30B4F">
        <w:trPr>
          <w:trHeight w:val="573"/>
        </w:trPr>
        <w:tc>
          <w:tcPr>
            <w:tcW w:w="1094" w:type="pc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14:paraId="0DCB9805" w14:textId="58637D52" w:rsidR="00C82D81" w:rsidRPr="00D30B4F" w:rsidRDefault="0062310B" w:rsidP="00AD3DBC">
            <w:pPr>
              <w:jc w:val="center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I see myself as:</w:t>
            </w:r>
          </w:p>
        </w:tc>
        <w:tc>
          <w:tcPr>
            <w:tcW w:w="570" w:type="pc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F378B" w14:textId="7A6EF576" w:rsidR="00C82D81" w:rsidRPr="00D30B4F" w:rsidRDefault="00C82D81" w:rsidP="00AD3DBC">
            <w:pPr>
              <w:jc w:val="center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690" w:type="pc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2C164" w14:textId="77777777" w:rsidR="00C82D81" w:rsidRPr="00D30B4F" w:rsidRDefault="00C82D81" w:rsidP="00AD3DBC">
            <w:pPr>
              <w:jc w:val="center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570" w:type="pc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1D067" w14:textId="77777777" w:rsidR="00C82D81" w:rsidRPr="00D30B4F" w:rsidRDefault="00C82D81" w:rsidP="00AD3DBC">
            <w:pPr>
              <w:jc w:val="center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542" w:type="pc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4C64C" w14:textId="77777777" w:rsidR="00C82D81" w:rsidRPr="00D30B4F" w:rsidRDefault="00C82D81" w:rsidP="00AD3DBC">
            <w:pPr>
              <w:jc w:val="center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430" w:type="pc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856DF" w14:textId="77777777" w:rsidR="00C82D81" w:rsidRPr="00D30B4F" w:rsidRDefault="00C82D81" w:rsidP="00AD3DBC">
            <w:pPr>
              <w:jc w:val="center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690" w:type="pc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97177" w14:textId="77777777" w:rsidR="00C82D81" w:rsidRPr="00D30B4F" w:rsidRDefault="00C82D81" w:rsidP="00AD3DBC">
            <w:pPr>
              <w:jc w:val="center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414" w:type="pc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vAlign w:val="center"/>
          </w:tcPr>
          <w:p w14:paraId="2092D4DF" w14:textId="77777777" w:rsidR="00C82D81" w:rsidRPr="00D30B4F" w:rsidRDefault="00C82D81" w:rsidP="00AD3DBC">
            <w:pPr>
              <w:jc w:val="center"/>
              <w:rPr>
                <w:sz w:val="20"/>
                <w:szCs w:val="20"/>
                <w:lang w:val="en-GB"/>
              </w:rPr>
            </w:pPr>
            <w:r w:rsidRPr="00D30B4F">
              <w:rPr>
                <w:sz w:val="20"/>
                <w:szCs w:val="20"/>
                <w:lang w:val="en-GB"/>
              </w:rPr>
              <w:t>7</w:t>
            </w:r>
          </w:p>
        </w:tc>
      </w:tr>
      <w:tr w:rsidR="00C82D81" w:rsidRPr="00D30B4F" w14:paraId="49C8AB92" w14:textId="77777777" w:rsidTr="0062310B">
        <w:trPr>
          <w:trHeight w:val="573"/>
        </w:trPr>
        <w:tc>
          <w:tcPr>
            <w:tcW w:w="1094" w:type="pct"/>
            <w:tcBorders>
              <w:left w:val="nil"/>
              <w:right w:val="nil"/>
            </w:tcBorders>
          </w:tcPr>
          <w:p w14:paraId="6F860C22" w14:textId="6C9D3909" w:rsidR="00C82D81" w:rsidRPr="00D30B4F" w:rsidRDefault="0067373D" w:rsidP="0067373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1. </w:t>
            </w:r>
            <w:r w:rsidR="0062310B" w:rsidRPr="00D30B4F">
              <w:rPr>
                <w:sz w:val="20"/>
                <w:szCs w:val="20"/>
                <w:lang w:val="en-GB"/>
              </w:rPr>
              <w:t>Extraverted, enthusiastic.</w:t>
            </w:r>
          </w:p>
        </w:tc>
        <w:tc>
          <w:tcPr>
            <w:tcW w:w="3906" w:type="pct"/>
            <w:gridSpan w:val="7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18E9C" w14:textId="65804844" w:rsidR="00C82D81" w:rsidRPr="00D30B4F" w:rsidRDefault="00C82D81" w:rsidP="0062310B">
            <w:pPr>
              <w:pStyle w:val="ListParagraph"/>
              <w:rPr>
                <w:sz w:val="20"/>
                <w:szCs w:val="20"/>
                <w:lang w:val="en-GB"/>
              </w:rPr>
            </w:pPr>
          </w:p>
        </w:tc>
      </w:tr>
      <w:tr w:rsidR="00C82D81" w:rsidRPr="00D30B4F" w14:paraId="49940EA2" w14:textId="77777777" w:rsidTr="0062310B">
        <w:trPr>
          <w:trHeight w:val="573"/>
        </w:trPr>
        <w:tc>
          <w:tcPr>
            <w:tcW w:w="1094" w:type="pct"/>
            <w:tcBorders>
              <w:left w:val="nil"/>
              <w:right w:val="nil"/>
            </w:tcBorders>
          </w:tcPr>
          <w:p w14:paraId="77397ABE" w14:textId="5C6CEDD1" w:rsidR="00C82D81" w:rsidRPr="00D30B4F" w:rsidRDefault="0067373D" w:rsidP="0067373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2. </w:t>
            </w:r>
            <w:r w:rsidR="0062310B" w:rsidRPr="00D30B4F">
              <w:rPr>
                <w:sz w:val="20"/>
                <w:szCs w:val="20"/>
                <w:lang w:val="en-GB"/>
              </w:rPr>
              <w:t>Critical, quarrelsome.</w:t>
            </w:r>
          </w:p>
        </w:tc>
        <w:tc>
          <w:tcPr>
            <w:tcW w:w="3906" w:type="pct"/>
            <w:gridSpan w:val="7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AE305" w14:textId="056140A2" w:rsidR="00C82D81" w:rsidRPr="00D30B4F" w:rsidRDefault="00C82D81" w:rsidP="0062310B">
            <w:pPr>
              <w:pStyle w:val="ListParagraph"/>
              <w:rPr>
                <w:sz w:val="20"/>
                <w:szCs w:val="20"/>
                <w:lang w:val="en-GB"/>
              </w:rPr>
            </w:pPr>
          </w:p>
        </w:tc>
      </w:tr>
      <w:tr w:rsidR="00C82D81" w:rsidRPr="00D30B4F" w14:paraId="7F4C7DBB" w14:textId="77777777" w:rsidTr="0062310B">
        <w:trPr>
          <w:trHeight w:val="573"/>
        </w:trPr>
        <w:tc>
          <w:tcPr>
            <w:tcW w:w="1094" w:type="pct"/>
            <w:tcBorders>
              <w:left w:val="nil"/>
              <w:right w:val="nil"/>
            </w:tcBorders>
          </w:tcPr>
          <w:p w14:paraId="23A904C4" w14:textId="58562207" w:rsidR="00C82D81" w:rsidRPr="00D30B4F" w:rsidRDefault="008C097B" w:rsidP="0067373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3. </w:t>
            </w:r>
            <w:r w:rsidR="0062310B" w:rsidRPr="00D30B4F">
              <w:rPr>
                <w:sz w:val="20"/>
                <w:szCs w:val="20"/>
                <w:lang w:val="en-GB"/>
              </w:rPr>
              <w:t>Dependable, self-disciplined.</w:t>
            </w:r>
          </w:p>
        </w:tc>
        <w:tc>
          <w:tcPr>
            <w:tcW w:w="3906" w:type="pct"/>
            <w:gridSpan w:val="7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23232" w14:textId="7EF937DA" w:rsidR="00C82D81" w:rsidRPr="00D30B4F" w:rsidRDefault="00C82D81" w:rsidP="0062310B">
            <w:pPr>
              <w:pStyle w:val="ListParagraph"/>
              <w:rPr>
                <w:sz w:val="20"/>
                <w:szCs w:val="20"/>
                <w:lang w:val="en-GB"/>
              </w:rPr>
            </w:pPr>
          </w:p>
        </w:tc>
      </w:tr>
      <w:tr w:rsidR="00C82D81" w:rsidRPr="00D30B4F" w14:paraId="3AF2C8F7" w14:textId="77777777" w:rsidTr="0062310B">
        <w:trPr>
          <w:trHeight w:val="573"/>
        </w:trPr>
        <w:tc>
          <w:tcPr>
            <w:tcW w:w="1094" w:type="pct"/>
            <w:tcBorders>
              <w:left w:val="nil"/>
              <w:right w:val="nil"/>
            </w:tcBorders>
          </w:tcPr>
          <w:p w14:paraId="64FBEDB2" w14:textId="539E97E3" w:rsidR="00C82D81" w:rsidRPr="00D30B4F" w:rsidRDefault="008C097B" w:rsidP="0067373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4. </w:t>
            </w:r>
            <w:r w:rsidR="0062310B" w:rsidRPr="00D30B4F">
              <w:rPr>
                <w:sz w:val="20"/>
                <w:szCs w:val="20"/>
                <w:lang w:val="en-GB"/>
              </w:rPr>
              <w:t>Anxious, easily upset.</w:t>
            </w:r>
          </w:p>
        </w:tc>
        <w:tc>
          <w:tcPr>
            <w:tcW w:w="3906" w:type="pct"/>
            <w:gridSpan w:val="7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05968" w14:textId="39E09E75" w:rsidR="00C82D81" w:rsidRPr="00D30B4F" w:rsidRDefault="00C82D81" w:rsidP="0062310B">
            <w:pPr>
              <w:pStyle w:val="ListParagraph"/>
              <w:rPr>
                <w:sz w:val="20"/>
                <w:szCs w:val="20"/>
                <w:lang w:val="en-GB"/>
              </w:rPr>
            </w:pPr>
          </w:p>
        </w:tc>
      </w:tr>
      <w:tr w:rsidR="00C82D81" w:rsidRPr="00D30B4F" w14:paraId="232F4E60" w14:textId="77777777" w:rsidTr="0062310B">
        <w:trPr>
          <w:trHeight w:val="573"/>
        </w:trPr>
        <w:tc>
          <w:tcPr>
            <w:tcW w:w="1094" w:type="pct"/>
            <w:tcBorders>
              <w:left w:val="nil"/>
              <w:right w:val="nil"/>
            </w:tcBorders>
          </w:tcPr>
          <w:p w14:paraId="03EDE6F3" w14:textId="599F0E24" w:rsidR="00C82D81" w:rsidRPr="00D30B4F" w:rsidRDefault="008C097B" w:rsidP="0067373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5. </w:t>
            </w:r>
            <w:r w:rsidR="0062310B" w:rsidRPr="00D30B4F">
              <w:rPr>
                <w:sz w:val="20"/>
                <w:szCs w:val="20"/>
                <w:lang w:val="en-GB"/>
              </w:rPr>
              <w:t>Open to new experiences, complex.</w:t>
            </w:r>
          </w:p>
        </w:tc>
        <w:tc>
          <w:tcPr>
            <w:tcW w:w="3906" w:type="pct"/>
            <w:gridSpan w:val="7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491F0" w14:textId="792BB682" w:rsidR="00C82D81" w:rsidRPr="00D30B4F" w:rsidRDefault="00C82D81" w:rsidP="0062310B">
            <w:pPr>
              <w:pStyle w:val="ListParagraph"/>
              <w:rPr>
                <w:sz w:val="20"/>
                <w:szCs w:val="20"/>
                <w:lang w:val="en-GB"/>
              </w:rPr>
            </w:pPr>
          </w:p>
        </w:tc>
      </w:tr>
      <w:tr w:rsidR="00C82D81" w:rsidRPr="00D30B4F" w14:paraId="397398E9" w14:textId="77777777" w:rsidTr="0062310B">
        <w:trPr>
          <w:trHeight w:val="573"/>
        </w:trPr>
        <w:tc>
          <w:tcPr>
            <w:tcW w:w="1094" w:type="pct"/>
            <w:tcBorders>
              <w:left w:val="nil"/>
              <w:right w:val="nil"/>
            </w:tcBorders>
          </w:tcPr>
          <w:p w14:paraId="0B4946E8" w14:textId="3C1D64F8" w:rsidR="00C82D81" w:rsidRPr="00D30B4F" w:rsidRDefault="008C097B" w:rsidP="0067373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6. </w:t>
            </w:r>
            <w:r w:rsidR="0062310B" w:rsidRPr="00D30B4F">
              <w:rPr>
                <w:sz w:val="20"/>
                <w:szCs w:val="20"/>
                <w:lang w:val="en-GB"/>
              </w:rPr>
              <w:t>Reserved, quiet.</w:t>
            </w:r>
          </w:p>
        </w:tc>
        <w:tc>
          <w:tcPr>
            <w:tcW w:w="3906" w:type="pct"/>
            <w:gridSpan w:val="7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E7677" w14:textId="1D05886C" w:rsidR="00C82D81" w:rsidRPr="00D30B4F" w:rsidRDefault="00C82D81" w:rsidP="0062310B">
            <w:pPr>
              <w:pStyle w:val="ListParagraph"/>
              <w:rPr>
                <w:sz w:val="20"/>
                <w:szCs w:val="20"/>
                <w:lang w:val="en-GB"/>
              </w:rPr>
            </w:pPr>
          </w:p>
        </w:tc>
      </w:tr>
      <w:tr w:rsidR="00C82D81" w:rsidRPr="00D30B4F" w14:paraId="6A97F4BB" w14:textId="77777777" w:rsidTr="0062310B">
        <w:trPr>
          <w:trHeight w:val="573"/>
        </w:trPr>
        <w:tc>
          <w:tcPr>
            <w:tcW w:w="1094" w:type="pct"/>
            <w:tcBorders>
              <w:left w:val="nil"/>
              <w:right w:val="nil"/>
            </w:tcBorders>
          </w:tcPr>
          <w:p w14:paraId="29BC8EEF" w14:textId="4DEA9516" w:rsidR="00C82D81" w:rsidRPr="00D30B4F" w:rsidRDefault="008C097B" w:rsidP="0067373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7. </w:t>
            </w:r>
            <w:r w:rsidR="0062310B" w:rsidRPr="00D30B4F">
              <w:rPr>
                <w:sz w:val="20"/>
                <w:szCs w:val="20"/>
                <w:lang w:val="en-GB"/>
              </w:rPr>
              <w:t>Sympathetic, warm.</w:t>
            </w:r>
          </w:p>
        </w:tc>
        <w:tc>
          <w:tcPr>
            <w:tcW w:w="3906" w:type="pct"/>
            <w:gridSpan w:val="7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DE8C8" w14:textId="784F5FFD" w:rsidR="00C82D81" w:rsidRPr="00D30B4F" w:rsidRDefault="00C82D81" w:rsidP="0062310B">
            <w:pPr>
              <w:pStyle w:val="ListParagraph"/>
              <w:rPr>
                <w:sz w:val="20"/>
                <w:szCs w:val="20"/>
                <w:lang w:val="en-GB"/>
              </w:rPr>
            </w:pPr>
          </w:p>
        </w:tc>
      </w:tr>
      <w:tr w:rsidR="00C82D81" w:rsidRPr="00D30B4F" w14:paraId="77F1A4B1" w14:textId="77777777" w:rsidTr="0062310B">
        <w:trPr>
          <w:trHeight w:val="573"/>
        </w:trPr>
        <w:tc>
          <w:tcPr>
            <w:tcW w:w="1094" w:type="pct"/>
            <w:tcBorders>
              <w:left w:val="nil"/>
              <w:right w:val="nil"/>
            </w:tcBorders>
          </w:tcPr>
          <w:p w14:paraId="4F6798A2" w14:textId="514CA050" w:rsidR="00C82D81" w:rsidRPr="00D30B4F" w:rsidRDefault="008C097B" w:rsidP="0067373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8. </w:t>
            </w:r>
            <w:r w:rsidR="0062310B" w:rsidRPr="00D30B4F">
              <w:rPr>
                <w:sz w:val="20"/>
                <w:szCs w:val="20"/>
                <w:lang w:val="en-GB"/>
              </w:rPr>
              <w:t>Disorganized, careless.</w:t>
            </w:r>
          </w:p>
        </w:tc>
        <w:tc>
          <w:tcPr>
            <w:tcW w:w="3906" w:type="pct"/>
            <w:gridSpan w:val="7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48CFD" w14:textId="18225510" w:rsidR="00C82D81" w:rsidRPr="00D30B4F" w:rsidRDefault="00C82D81" w:rsidP="0062310B">
            <w:pPr>
              <w:pStyle w:val="ListParagraph"/>
              <w:rPr>
                <w:sz w:val="20"/>
                <w:szCs w:val="20"/>
                <w:lang w:val="en-GB"/>
              </w:rPr>
            </w:pPr>
          </w:p>
        </w:tc>
      </w:tr>
      <w:tr w:rsidR="00C82D81" w:rsidRPr="00D30B4F" w14:paraId="43E30768" w14:textId="77777777" w:rsidTr="0062310B">
        <w:trPr>
          <w:trHeight w:val="573"/>
        </w:trPr>
        <w:tc>
          <w:tcPr>
            <w:tcW w:w="1094" w:type="pct"/>
            <w:tcBorders>
              <w:left w:val="nil"/>
              <w:right w:val="nil"/>
            </w:tcBorders>
          </w:tcPr>
          <w:p w14:paraId="471800BC" w14:textId="79E47029" w:rsidR="00C82D81" w:rsidRPr="00D30B4F" w:rsidRDefault="008C097B" w:rsidP="0067373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9. </w:t>
            </w:r>
            <w:r w:rsidR="0062310B" w:rsidRPr="00D30B4F">
              <w:rPr>
                <w:sz w:val="20"/>
                <w:szCs w:val="20"/>
                <w:lang w:val="en-GB"/>
              </w:rPr>
              <w:t>Calm, emotionally stable.</w:t>
            </w:r>
          </w:p>
        </w:tc>
        <w:tc>
          <w:tcPr>
            <w:tcW w:w="3906" w:type="pct"/>
            <w:gridSpan w:val="7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811E4" w14:textId="78260CDE" w:rsidR="00C82D81" w:rsidRPr="00D30B4F" w:rsidRDefault="00C82D81" w:rsidP="0062310B">
            <w:pPr>
              <w:pStyle w:val="ListParagraph"/>
              <w:rPr>
                <w:sz w:val="20"/>
                <w:szCs w:val="20"/>
                <w:lang w:val="en-GB"/>
              </w:rPr>
            </w:pPr>
          </w:p>
        </w:tc>
      </w:tr>
      <w:tr w:rsidR="00C82D81" w:rsidRPr="00D30B4F" w14:paraId="515580CD" w14:textId="77777777" w:rsidTr="0062310B">
        <w:trPr>
          <w:trHeight w:val="573"/>
        </w:trPr>
        <w:tc>
          <w:tcPr>
            <w:tcW w:w="1094" w:type="pct"/>
            <w:tcBorders>
              <w:left w:val="nil"/>
              <w:bottom w:val="single" w:sz="8" w:space="0" w:color="000000"/>
              <w:right w:val="nil"/>
            </w:tcBorders>
          </w:tcPr>
          <w:p w14:paraId="40FC70F5" w14:textId="45EC6E53" w:rsidR="00C82D81" w:rsidRPr="00D30B4F" w:rsidRDefault="008C097B" w:rsidP="0067373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10. </w:t>
            </w:r>
            <w:r w:rsidR="0062310B" w:rsidRPr="00D30B4F">
              <w:rPr>
                <w:sz w:val="20"/>
                <w:szCs w:val="20"/>
                <w:lang w:val="en-GB"/>
              </w:rPr>
              <w:t>Conventional, uncreative.</w:t>
            </w:r>
          </w:p>
        </w:tc>
        <w:tc>
          <w:tcPr>
            <w:tcW w:w="3906" w:type="pct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007BB" w14:textId="38DB4803" w:rsidR="00C82D81" w:rsidRPr="00D30B4F" w:rsidRDefault="00C82D81" w:rsidP="0062310B">
            <w:pPr>
              <w:pStyle w:val="ListParagraph"/>
              <w:rPr>
                <w:sz w:val="20"/>
                <w:szCs w:val="20"/>
                <w:lang w:val="en-GB"/>
              </w:rPr>
            </w:pPr>
          </w:p>
        </w:tc>
      </w:tr>
    </w:tbl>
    <w:p w14:paraId="2BC60449" w14:textId="0E801B68" w:rsidR="00D555BE" w:rsidRPr="0060752A" w:rsidRDefault="00203086" w:rsidP="003134CA">
      <w:pPr>
        <w:rPr>
          <w:lang w:val="en-GB"/>
        </w:rPr>
      </w:pPr>
      <w:r w:rsidRPr="0060752A">
        <w:rPr>
          <w:lang w:val="en-GB"/>
        </w:rPr>
        <w:t xml:space="preserve">Table </w:t>
      </w:r>
      <w:r w:rsidR="00C7094E">
        <w:rPr>
          <w:lang w:val="en-GB"/>
        </w:rPr>
        <w:t>S</w:t>
      </w:r>
      <w:r w:rsidRPr="0060752A">
        <w:rPr>
          <w:lang w:val="en-GB"/>
        </w:rPr>
        <w:t>A</w:t>
      </w:r>
      <w:r w:rsidR="001617B1" w:rsidRPr="0060752A">
        <w:rPr>
          <w:lang w:val="en-GB"/>
        </w:rPr>
        <w:t>2</w:t>
      </w:r>
      <w:r w:rsidRPr="0060752A">
        <w:rPr>
          <w:lang w:val="en-GB"/>
        </w:rPr>
        <w:t xml:space="preserve">. </w:t>
      </w:r>
      <w:r w:rsidR="00C05022" w:rsidRPr="0060752A">
        <w:t>Ten-</w:t>
      </w:r>
      <w:r w:rsidR="00805C07">
        <w:t>i</w:t>
      </w:r>
      <w:r w:rsidR="00C05022" w:rsidRPr="0060752A">
        <w:t xml:space="preserve">tem </w:t>
      </w:r>
      <w:r w:rsidR="00805C07">
        <w:t>p</w:t>
      </w:r>
      <w:r w:rsidR="00C05022" w:rsidRPr="0060752A">
        <w:t xml:space="preserve">ersonality </w:t>
      </w:r>
      <w:r w:rsidR="00805C07">
        <w:t>i</w:t>
      </w:r>
      <w:r w:rsidR="00C05022" w:rsidRPr="0060752A">
        <w:t xml:space="preserve">nventory </w:t>
      </w:r>
    </w:p>
    <w:p w14:paraId="34B37138" w14:textId="7937648E" w:rsidR="00AD3DBC" w:rsidRPr="0060752A" w:rsidRDefault="00AD3DBC" w:rsidP="00AD3DBC">
      <w:pPr>
        <w:jc w:val="both"/>
        <w:rPr>
          <w:sz w:val="20"/>
          <w:szCs w:val="20"/>
        </w:rPr>
      </w:pPr>
      <w:r w:rsidRPr="00C2433A">
        <w:rPr>
          <w:sz w:val="20"/>
          <w:szCs w:val="20"/>
          <w:lang w:val="en-GB"/>
        </w:rPr>
        <w:t>Notes</w:t>
      </w:r>
      <w:r w:rsidRPr="0039284F">
        <w:rPr>
          <w:sz w:val="20"/>
          <w:szCs w:val="20"/>
          <w:lang w:val="en-GB"/>
        </w:rPr>
        <w:t>:</w:t>
      </w:r>
      <w:r w:rsidRPr="0060752A">
        <w:rPr>
          <w:sz w:val="20"/>
          <w:szCs w:val="20"/>
          <w:lang w:val="en-GB"/>
        </w:rPr>
        <w:t xml:space="preserve"> </w:t>
      </w:r>
      <w:r w:rsidRPr="0060752A">
        <w:rPr>
          <w:sz w:val="20"/>
          <w:szCs w:val="20"/>
        </w:rPr>
        <w:t>TIPI scale scoring (</w:t>
      </w:r>
      <w:r w:rsidR="00F84AAE">
        <w:rPr>
          <w:sz w:val="20"/>
          <w:szCs w:val="20"/>
        </w:rPr>
        <w:t>“</w:t>
      </w:r>
      <w:r w:rsidRPr="0060752A">
        <w:rPr>
          <w:sz w:val="20"/>
          <w:szCs w:val="20"/>
        </w:rPr>
        <w:t>R</w:t>
      </w:r>
      <w:r w:rsidR="00F84AAE">
        <w:rPr>
          <w:sz w:val="20"/>
          <w:szCs w:val="20"/>
        </w:rPr>
        <w:t>”</w:t>
      </w:r>
      <w:r w:rsidRPr="0060752A">
        <w:rPr>
          <w:sz w:val="20"/>
          <w:szCs w:val="20"/>
        </w:rPr>
        <w:t xml:space="preserve"> denotes reverse-scored items): Extraversion</w:t>
      </w:r>
      <w:r w:rsidR="008C6A74">
        <w:rPr>
          <w:sz w:val="20"/>
          <w:szCs w:val="20"/>
        </w:rPr>
        <w:t xml:space="preserve"> =</w:t>
      </w:r>
      <w:r w:rsidRPr="0060752A">
        <w:rPr>
          <w:sz w:val="20"/>
          <w:szCs w:val="20"/>
        </w:rPr>
        <w:t xml:space="preserve"> 1, 6R; Agreeableness</w:t>
      </w:r>
      <w:r w:rsidR="008C6A74">
        <w:rPr>
          <w:sz w:val="20"/>
          <w:szCs w:val="20"/>
        </w:rPr>
        <w:t xml:space="preserve"> =</w:t>
      </w:r>
      <w:r w:rsidRPr="0060752A">
        <w:rPr>
          <w:sz w:val="20"/>
          <w:szCs w:val="20"/>
        </w:rPr>
        <w:t xml:space="preserve"> 2R, 7; Conscientiousness</w:t>
      </w:r>
      <w:r w:rsidR="008C6A74">
        <w:rPr>
          <w:sz w:val="20"/>
          <w:szCs w:val="20"/>
        </w:rPr>
        <w:t xml:space="preserve"> =</w:t>
      </w:r>
      <w:r w:rsidRPr="0060752A">
        <w:rPr>
          <w:sz w:val="20"/>
          <w:szCs w:val="20"/>
        </w:rPr>
        <w:t xml:space="preserve"> 3, 8R; Emotional </w:t>
      </w:r>
      <w:r w:rsidR="008C6A74">
        <w:rPr>
          <w:sz w:val="20"/>
          <w:szCs w:val="20"/>
        </w:rPr>
        <w:t>s</w:t>
      </w:r>
      <w:r w:rsidRPr="0060752A">
        <w:rPr>
          <w:sz w:val="20"/>
          <w:szCs w:val="20"/>
        </w:rPr>
        <w:t>tability</w:t>
      </w:r>
      <w:r w:rsidR="008C6A74">
        <w:rPr>
          <w:sz w:val="20"/>
          <w:szCs w:val="20"/>
        </w:rPr>
        <w:t xml:space="preserve"> =</w:t>
      </w:r>
      <w:r w:rsidRPr="0060752A">
        <w:rPr>
          <w:sz w:val="20"/>
          <w:szCs w:val="20"/>
        </w:rPr>
        <w:t xml:space="preserve"> 4R, 9; Openness to </w:t>
      </w:r>
      <w:r w:rsidR="008C6A74">
        <w:rPr>
          <w:sz w:val="20"/>
          <w:szCs w:val="20"/>
        </w:rPr>
        <w:t>e</w:t>
      </w:r>
      <w:r w:rsidRPr="0060752A">
        <w:rPr>
          <w:sz w:val="20"/>
          <w:szCs w:val="20"/>
        </w:rPr>
        <w:t>xperience</w:t>
      </w:r>
      <w:r w:rsidR="008C6A74">
        <w:rPr>
          <w:sz w:val="20"/>
          <w:szCs w:val="20"/>
        </w:rPr>
        <w:t xml:space="preserve"> =</w:t>
      </w:r>
      <w:r w:rsidRPr="0060752A">
        <w:rPr>
          <w:sz w:val="20"/>
          <w:szCs w:val="20"/>
        </w:rPr>
        <w:t xml:space="preserve"> 5, 10R. </w:t>
      </w:r>
    </w:p>
    <w:p w14:paraId="0630CC36" w14:textId="4C290083" w:rsidR="00D555BE" w:rsidRPr="00C2433A" w:rsidRDefault="00F60EAF" w:rsidP="00293D82">
      <w:pPr>
        <w:spacing w:line="480" w:lineRule="auto"/>
        <w:jc w:val="both"/>
        <w:rPr>
          <w:sz w:val="20"/>
          <w:szCs w:val="20"/>
          <w:lang w:val="en-GB"/>
        </w:rPr>
      </w:pPr>
      <w:r w:rsidRPr="00C2433A">
        <w:rPr>
          <w:sz w:val="20"/>
          <w:szCs w:val="20"/>
          <w:lang w:val="en-GB"/>
        </w:rPr>
        <w:t xml:space="preserve">Source: </w:t>
      </w:r>
      <w:r w:rsidRPr="00C2433A">
        <w:rPr>
          <w:sz w:val="20"/>
          <w:szCs w:val="20"/>
        </w:rPr>
        <w:t xml:space="preserve">Gosling, Rentfrow and Swann </w:t>
      </w:r>
      <w:r w:rsidR="007D59DF">
        <w:rPr>
          <w:sz w:val="20"/>
          <w:szCs w:val="20"/>
        </w:rPr>
        <w:t>(</w:t>
      </w:r>
      <w:r w:rsidRPr="00C2433A">
        <w:rPr>
          <w:sz w:val="20"/>
          <w:szCs w:val="20"/>
        </w:rPr>
        <w:t>2003</w:t>
      </w:r>
      <w:r w:rsidR="007D59DF">
        <w:rPr>
          <w:sz w:val="20"/>
          <w:szCs w:val="20"/>
        </w:rPr>
        <w:t>)</w:t>
      </w:r>
      <w:r w:rsidRPr="00C2433A">
        <w:rPr>
          <w:sz w:val="20"/>
          <w:szCs w:val="20"/>
        </w:rPr>
        <w:t>.</w:t>
      </w:r>
    </w:p>
    <w:p w14:paraId="38030894" w14:textId="1E6C206E" w:rsidR="00ED071E" w:rsidRDefault="00ED071E" w:rsidP="00293D82">
      <w:pPr>
        <w:spacing w:line="480" w:lineRule="auto"/>
        <w:jc w:val="both"/>
        <w:rPr>
          <w:lang w:val="en-GB"/>
        </w:rPr>
      </w:pPr>
      <w:r>
        <w:rPr>
          <w:lang w:val="en-GB"/>
        </w:rPr>
        <w:br w:type="page"/>
      </w:r>
    </w:p>
    <w:p w14:paraId="20E116FC" w14:textId="77777777" w:rsidR="00623D8F" w:rsidRPr="0060752A" w:rsidRDefault="004B3058" w:rsidP="00623D8F">
      <w:pPr>
        <w:jc w:val="both"/>
        <w:rPr>
          <w:color w:val="000000"/>
          <w:lang w:val="en-GB"/>
        </w:rPr>
      </w:pPr>
      <w:r w:rsidRPr="0060752A">
        <w:rPr>
          <w:lang w:val="en-GB"/>
        </w:rPr>
        <w:lastRenderedPageBreak/>
        <w:t xml:space="preserve">Table </w:t>
      </w:r>
      <w:r w:rsidR="00E843E1">
        <w:rPr>
          <w:lang w:val="en-GB"/>
        </w:rPr>
        <w:t>S</w:t>
      </w:r>
      <w:r w:rsidRPr="0060752A">
        <w:rPr>
          <w:lang w:val="en-GB"/>
        </w:rPr>
        <w:t>A</w:t>
      </w:r>
      <w:r w:rsidR="001617B1" w:rsidRPr="0060752A">
        <w:rPr>
          <w:lang w:val="en-GB"/>
        </w:rPr>
        <w:t>3</w:t>
      </w:r>
      <w:r w:rsidRPr="0060752A">
        <w:rPr>
          <w:lang w:val="en-GB"/>
        </w:rPr>
        <w:t xml:space="preserve">. </w:t>
      </w:r>
      <w:r w:rsidR="00623D8F" w:rsidRPr="0060752A">
        <w:rPr>
          <w:lang w:val="en-GB"/>
        </w:rPr>
        <w:t xml:space="preserve">Relative productivity of </w:t>
      </w:r>
      <w:r w:rsidR="00623D8F">
        <w:rPr>
          <w:lang w:val="en-GB"/>
        </w:rPr>
        <w:t>WFH</w:t>
      </w:r>
      <w:r w:rsidR="00623D8F" w:rsidRPr="0060752A">
        <w:rPr>
          <w:lang w:val="en-GB"/>
        </w:rPr>
        <w:t xml:space="preserve">, </w:t>
      </w:r>
      <w:r w:rsidR="00623D8F" w:rsidRPr="0060752A">
        <w:rPr>
          <w:color w:val="000000"/>
          <w:lang w:val="en-GB"/>
        </w:rPr>
        <w:t>preferred mode</w:t>
      </w:r>
      <w:r w:rsidR="00623D8F">
        <w:rPr>
          <w:color w:val="000000"/>
          <w:lang w:val="en-GB"/>
        </w:rPr>
        <w:t xml:space="preserve"> </w:t>
      </w:r>
      <w:r w:rsidR="00623D8F" w:rsidRPr="0060752A">
        <w:rPr>
          <w:color w:val="000000"/>
          <w:lang w:val="en-GB"/>
        </w:rPr>
        <w:t>of work post-pandemic</w:t>
      </w:r>
    </w:p>
    <w:tbl>
      <w:tblPr>
        <w:tblW w:w="7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262"/>
        <w:gridCol w:w="181"/>
        <w:gridCol w:w="1081"/>
        <w:gridCol w:w="535"/>
        <w:gridCol w:w="727"/>
        <w:gridCol w:w="1263"/>
      </w:tblGrid>
      <w:tr w:rsidR="00623D8F" w:rsidRPr="0060752A" w14:paraId="7E8F1201" w14:textId="77777777" w:rsidTr="005855C3">
        <w:trPr>
          <w:trHeight w:val="357"/>
        </w:trPr>
        <w:tc>
          <w:tcPr>
            <w:tcW w:w="1990" w:type="dxa"/>
            <w:vMerge w:val="restart"/>
            <w:tcBorders>
              <w:top w:val="double" w:sz="6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B94F0" w14:textId="77777777" w:rsidR="00623D8F" w:rsidRPr="0060752A" w:rsidRDefault="00623D8F" w:rsidP="005855C3">
            <w:pPr>
              <w:rPr>
                <w:i/>
                <w:lang w:val="en-GB"/>
              </w:rPr>
            </w:pPr>
            <w:r w:rsidRPr="0060752A">
              <w:rPr>
                <w:i/>
                <w:iCs/>
                <w:color w:val="000000"/>
                <w:sz w:val="22"/>
                <w:szCs w:val="22"/>
                <w:lang w:val="en-GB"/>
              </w:rPr>
              <w:t>Are you more productive</w:t>
            </w:r>
            <w:r w:rsidRPr="0060752A">
              <w:rPr>
                <w:sz w:val="22"/>
                <w:szCs w:val="22"/>
                <w:lang w:val="en-GB"/>
              </w:rPr>
              <w:t xml:space="preserve"> </w:t>
            </w:r>
            <w:r w:rsidRPr="0060752A">
              <w:rPr>
                <w:i/>
                <w:sz w:val="22"/>
                <w:szCs w:val="22"/>
                <w:lang w:val="en-GB"/>
              </w:rPr>
              <w:t>when</w:t>
            </w:r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r w:rsidRPr="0060752A">
              <w:rPr>
                <w:i/>
                <w:sz w:val="22"/>
                <w:szCs w:val="22"/>
                <w:lang w:val="en-GB"/>
              </w:rPr>
              <w:t>working…</w:t>
            </w:r>
          </w:p>
        </w:tc>
        <w:tc>
          <w:tcPr>
            <w:tcW w:w="5049" w:type="dxa"/>
            <w:gridSpan w:val="6"/>
            <w:tcBorders>
              <w:top w:val="double" w:sz="6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6CDC1C2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  <w:lang w:val="en-GB"/>
              </w:rPr>
              <w:t>Preferred mode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60752A">
              <w:rPr>
                <w:color w:val="000000"/>
                <w:sz w:val="22"/>
                <w:szCs w:val="22"/>
                <w:lang w:val="en-GB"/>
              </w:rPr>
              <w:t>of work post-pandemic</w:t>
            </w:r>
          </w:p>
        </w:tc>
      </w:tr>
      <w:tr w:rsidR="00623D8F" w:rsidRPr="0060752A" w14:paraId="751A81CF" w14:textId="77777777" w:rsidTr="005855C3">
        <w:trPr>
          <w:trHeight w:val="573"/>
        </w:trPr>
        <w:tc>
          <w:tcPr>
            <w:tcW w:w="1990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1B2AB18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AA5F0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lang w:val="en-GB"/>
              </w:rPr>
              <w:t>In</w:t>
            </w:r>
            <w:r>
              <w:rPr>
                <w:lang w:val="en-GB"/>
              </w:rPr>
              <w:t xml:space="preserve"> </w:t>
            </w:r>
            <w:r w:rsidRPr="0060752A">
              <w:rPr>
                <w:lang w:val="en-GB"/>
              </w:rPr>
              <w:t>office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CC973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  <w:lang w:val="en-GB"/>
              </w:rPr>
              <w:t>No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60752A">
              <w:rPr>
                <w:color w:val="000000"/>
                <w:sz w:val="22"/>
                <w:szCs w:val="22"/>
                <w:lang w:val="en-GB"/>
              </w:rPr>
              <w:t>difference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8EB69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lang w:val="en-GB"/>
              </w:rPr>
              <w:t>From home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C028C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lang w:val="en-GB"/>
              </w:rPr>
              <w:t>Total</w:t>
            </w:r>
          </w:p>
        </w:tc>
      </w:tr>
      <w:tr w:rsidR="00623D8F" w:rsidRPr="0060752A" w14:paraId="51ABFBE6" w14:textId="77777777" w:rsidTr="005855C3">
        <w:trPr>
          <w:trHeight w:val="325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2D0F2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In</w:t>
            </w:r>
            <w:r>
              <w:rPr>
                <w:lang w:val="en-GB"/>
              </w:rPr>
              <w:t xml:space="preserve"> </w:t>
            </w:r>
            <w:r w:rsidRPr="0060752A">
              <w:rPr>
                <w:lang w:val="en-GB"/>
              </w:rPr>
              <w:t>office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6995F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</w:rPr>
              <w:t>0.821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6B9F7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</w:rPr>
              <w:t>0.430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8F426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</w:rPr>
              <w:t>0.164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A4B3138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</w:rPr>
              <w:t>0.367</w:t>
            </w:r>
          </w:p>
        </w:tc>
      </w:tr>
      <w:tr w:rsidR="00623D8F" w:rsidRPr="0060752A" w14:paraId="1D983054" w14:textId="77777777" w:rsidTr="005855C3">
        <w:trPr>
          <w:trHeight w:val="325"/>
        </w:trPr>
        <w:tc>
          <w:tcPr>
            <w:tcW w:w="1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B7621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  <w:lang w:val="en-GB"/>
              </w:rPr>
              <w:t>No difference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FA614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</w:rPr>
              <w:t>0.134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34228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</w:rPr>
              <w:t>0.501</w:t>
            </w:r>
          </w:p>
        </w:tc>
        <w:tc>
          <w:tcPr>
            <w:tcW w:w="126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DB9CC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</w:rPr>
              <w:t>0.376</w:t>
            </w:r>
          </w:p>
        </w:tc>
        <w:tc>
          <w:tcPr>
            <w:tcW w:w="12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4D829B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</w:rPr>
              <w:t>0.323</w:t>
            </w:r>
          </w:p>
        </w:tc>
      </w:tr>
      <w:tr w:rsidR="00623D8F" w:rsidRPr="0060752A" w14:paraId="59FEDC6D" w14:textId="77777777" w:rsidTr="005855C3">
        <w:trPr>
          <w:trHeight w:val="325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CCF2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From home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D563A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1C1B7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</w:rPr>
              <w:t>0.069</w:t>
            </w:r>
          </w:p>
        </w:tc>
        <w:tc>
          <w:tcPr>
            <w:tcW w:w="12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170BC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</w:rPr>
              <w:t>0.460</w:t>
            </w:r>
          </w:p>
        </w:tc>
        <w:tc>
          <w:tcPr>
            <w:tcW w:w="12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E9B76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color w:val="000000"/>
                <w:sz w:val="22"/>
                <w:szCs w:val="22"/>
              </w:rPr>
              <w:t>0.310</w:t>
            </w:r>
          </w:p>
        </w:tc>
      </w:tr>
      <w:tr w:rsidR="00623D8F" w:rsidRPr="0060752A" w14:paraId="1C1D72A8" w14:textId="77777777" w:rsidTr="005855C3">
        <w:trPr>
          <w:trHeight w:val="325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B2448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Total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B9A19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lang w:val="en-GB"/>
              </w:rPr>
              <w:t>1.000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396E9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lang w:val="en-GB"/>
              </w:rPr>
              <w:t>1.000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13CB8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lang w:val="en-GB"/>
              </w:rPr>
              <w:t>1.000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30AAD" w14:textId="77777777" w:rsidR="00623D8F" w:rsidRPr="0060752A" w:rsidRDefault="00623D8F" w:rsidP="005855C3">
            <w:pPr>
              <w:jc w:val="center"/>
              <w:rPr>
                <w:lang w:val="en-GB"/>
              </w:rPr>
            </w:pPr>
            <w:r w:rsidRPr="0060752A">
              <w:rPr>
                <w:lang w:val="en-GB"/>
              </w:rPr>
              <w:t>1.000</w:t>
            </w:r>
          </w:p>
        </w:tc>
      </w:tr>
      <w:tr w:rsidR="00623D8F" w:rsidRPr="0060752A" w14:paraId="723AC25E" w14:textId="77777777" w:rsidTr="005855C3">
        <w:trPr>
          <w:trHeight w:hRule="exact" w:val="95"/>
        </w:trPr>
        <w:tc>
          <w:tcPr>
            <w:tcW w:w="1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0C44869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T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51AB284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C3F7202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9057A89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</w:p>
        </w:tc>
      </w:tr>
    </w:tbl>
    <w:p w14:paraId="533F7FDE" w14:textId="77777777" w:rsidR="00623D8F" w:rsidRDefault="00623D8F" w:rsidP="00623D8F">
      <w:pPr>
        <w:jc w:val="both"/>
        <w:rPr>
          <w:sz w:val="20"/>
          <w:szCs w:val="20"/>
          <w:lang w:val="en-GB"/>
        </w:rPr>
      </w:pPr>
      <w:r w:rsidRPr="00C2433A">
        <w:rPr>
          <w:iCs/>
          <w:color w:val="000000"/>
          <w:sz w:val="20"/>
          <w:szCs w:val="20"/>
          <w:lang w:val="en-GB"/>
        </w:rPr>
        <w:t>Notes:</w:t>
      </w:r>
      <w:r w:rsidRPr="0060752A">
        <w:rPr>
          <w:i/>
          <w:color w:val="000000"/>
          <w:sz w:val="20"/>
          <w:szCs w:val="20"/>
          <w:lang w:val="en-GB"/>
        </w:rPr>
        <w:t xml:space="preserve"> </w:t>
      </w:r>
      <w:r w:rsidRPr="0060752A">
        <w:rPr>
          <w:sz w:val="20"/>
          <w:szCs w:val="20"/>
          <w:lang w:val="en-GB"/>
        </w:rPr>
        <w:t xml:space="preserve">This table provides the joint distribution between self-reported relative productivity and the preferred mode of working post-pandemic. It reads as follows: among respondents preferring to </w:t>
      </w:r>
      <w:r>
        <w:rPr>
          <w:sz w:val="20"/>
          <w:szCs w:val="20"/>
          <w:lang w:val="en-GB"/>
        </w:rPr>
        <w:t>WFO</w:t>
      </w:r>
      <w:r w:rsidRPr="0060752A">
        <w:rPr>
          <w:sz w:val="20"/>
          <w:szCs w:val="20"/>
          <w:lang w:val="en-GB"/>
        </w:rPr>
        <w:t xml:space="preserve"> after the pandemic, 82.1</w:t>
      </w:r>
      <w:r>
        <w:rPr>
          <w:sz w:val="20"/>
          <w:szCs w:val="20"/>
          <w:lang w:val="en-GB"/>
        </w:rPr>
        <w:t> per cent</w:t>
      </w:r>
      <w:r w:rsidRPr="0060752A">
        <w:rPr>
          <w:sz w:val="20"/>
          <w:szCs w:val="20"/>
          <w:lang w:val="en-GB"/>
        </w:rPr>
        <w:t xml:space="preserve"> report a higher productivity in office than at home.   </w:t>
      </w:r>
    </w:p>
    <w:p w14:paraId="46193AE5" w14:textId="77777777" w:rsidR="00623D8F" w:rsidRPr="002912D3" w:rsidRDefault="00623D8F" w:rsidP="00623D8F">
      <w:pPr>
        <w:spacing w:line="480" w:lineRule="auto"/>
        <w:jc w:val="both"/>
        <w:rPr>
          <w:sz w:val="20"/>
          <w:szCs w:val="20"/>
          <w:lang w:val="en-GB"/>
        </w:rPr>
      </w:pPr>
      <w:r w:rsidRPr="002912D3">
        <w:rPr>
          <w:sz w:val="20"/>
          <w:szCs w:val="20"/>
          <w:lang w:val="en-GB"/>
        </w:rPr>
        <w:t xml:space="preserve">Source: Our own calculations based on </w:t>
      </w:r>
      <w:r>
        <w:rPr>
          <w:sz w:val="20"/>
          <w:szCs w:val="20"/>
          <w:lang w:val="en-GB"/>
        </w:rPr>
        <w:t xml:space="preserve">our </w:t>
      </w:r>
      <w:r w:rsidRPr="002912D3">
        <w:rPr>
          <w:sz w:val="20"/>
          <w:szCs w:val="20"/>
          <w:lang w:val="en-GB"/>
        </w:rPr>
        <w:t xml:space="preserve">survey data. </w:t>
      </w:r>
    </w:p>
    <w:p w14:paraId="5F57EE25" w14:textId="3F9FD4D6" w:rsidR="0066381D" w:rsidRPr="002912D3" w:rsidRDefault="0066381D" w:rsidP="0066381D">
      <w:pPr>
        <w:spacing w:line="480" w:lineRule="auto"/>
        <w:jc w:val="both"/>
        <w:rPr>
          <w:sz w:val="20"/>
          <w:szCs w:val="20"/>
          <w:lang w:val="en-GB"/>
        </w:rPr>
      </w:pPr>
      <w:r w:rsidRPr="002912D3">
        <w:rPr>
          <w:sz w:val="20"/>
          <w:szCs w:val="20"/>
          <w:lang w:val="en-GB"/>
        </w:rPr>
        <w:t xml:space="preserve"> </w:t>
      </w:r>
    </w:p>
    <w:p w14:paraId="65259431" w14:textId="77777777" w:rsidR="00155C0B" w:rsidRPr="0060752A" w:rsidRDefault="00155C0B" w:rsidP="004B3058">
      <w:pPr>
        <w:jc w:val="both"/>
        <w:rPr>
          <w:sz w:val="20"/>
          <w:szCs w:val="20"/>
          <w:lang w:val="en-GB"/>
        </w:rPr>
      </w:pPr>
    </w:p>
    <w:p w14:paraId="05453102" w14:textId="77777777" w:rsidR="001A526B" w:rsidRDefault="001A526B" w:rsidP="00293D82">
      <w:pPr>
        <w:spacing w:line="480" w:lineRule="auto"/>
        <w:jc w:val="both"/>
        <w:rPr>
          <w:sz w:val="20"/>
          <w:szCs w:val="20"/>
          <w:lang w:val="en-GB"/>
        </w:rPr>
      </w:pPr>
    </w:p>
    <w:p w14:paraId="52F6ABC7" w14:textId="77777777" w:rsidR="001A526B" w:rsidRDefault="001A526B" w:rsidP="00293D82">
      <w:pPr>
        <w:spacing w:line="480" w:lineRule="auto"/>
        <w:jc w:val="both"/>
        <w:rPr>
          <w:sz w:val="20"/>
          <w:szCs w:val="20"/>
          <w:lang w:val="en-GB"/>
        </w:rPr>
      </w:pPr>
    </w:p>
    <w:p w14:paraId="7C003B58" w14:textId="2C83AFA9" w:rsidR="00ED071E" w:rsidRDefault="00ED071E" w:rsidP="00293D82">
      <w:pPr>
        <w:spacing w:line="48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14:paraId="20758F6F" w14:textId="77777777" w:rsidR="00623D8F" w:rsidRPr="0060752A" w:rsidRDefault="002C2035" w:rsidP="00623D8F">
      <w:pPr>
        <w:jc w:val="both"/>
        <w:rPr>
          <w:lang w:val="en-GB"/>
        </w:rPr>
      </w:pPr>
      <w:r w:rsidRPr="0060752A">
        <w:rPr>
          <w:lang w:val="en-GB"/>
        </w:rPr>
        <w:lastRenderedPageBreak/>
        <w:t xml:space="preserve">Table </w:t>
      </w:r>
      <w:r w:rsidR="00E843E1">
        <w:rPr>
          <w:lang w:val="en-GB"/>
        </w:rPr>
        <w:t>S</w:t>
      </w:r>
      <w:r w:rsidRPr="0060752A">
        <w:rPr>
          <w:lang w:val="en-GB"/>
        </w:rPr>
        <w:t>A</w:t>
      </w:r>
      <w:r w:rsidR="001617B1" w:rsidRPr="0060752A">
        <w:rPr>
          <w:lang w:val="en-GB"/>
        </w:rPr>
        <w:t>4</w:t>
      </w:r>
      <w:r w:rsidRPr="0060752A">
        <w:rPr>
          <w:lang w:val="en-GB"/>
        </w:rPr>
        <w:t>.</w:t>
      </w:r>
      <w:r w:rsidR="00623D8F">
        <w:rPr>
          <w:lang w:val="en-GB"/>
        </w:rPr>
        <w:t xml:space="preserve"> </w:t>
      </w:r>
      <w:r w:rsidR="00623D8F" w:rsidRPr="0060752A">
        <w:rPr>
          <w:lang w:val="en-GB"/>
        </w:rPr>
        <w:t xml:space="preserve">Correlation between personality traits </w:t>
      </w:r>
    </w:p>
    <w:tbl>
      <w:tblPr>
        <w:tblW w:w="90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443"/>
        <w:gridCol w:w="1616"/>
        <w:gridCol w:w="1990"/>
        <w:gridCol w:w="1216"/>
        <w:gridCol w:w="1256"/>
      </w:tblGrid>
      <w:tr w:rsidR="00623D8F" w:rsidRPr="0060752A" w14:paraId="0E6CB862" w14:textId="77777777" w:rsidTr="005855C3">
        <w:trPr>
          <w:trHeight w:val="573"/>
        </w:trPr>
        <w:tc>
          <w:tcPr>
            <w:tcW w:w="2145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C69D8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 </w:t>
            </w:r>
          </w:p>
        </w:tc>
        <w:tc>
          <w:tcPr>
            <w:tcW w:w="1335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5591D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Extraversion</w:t>
            </w:r>
          </w:p>
        </w:tc>
        <w:tc>
          <w:tcPr>
            <w:tcW w:w="1335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8789E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Agreeableness</w:t>
            </w:r>
          </w:p>
        </w:tc>
        <w:tc>
          <w:tcPr>
            <w:tcW w:w="160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7F905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Conscientiousness</w:t>
            </w:r>
          </w:p>
        </w:tc>
        <w:tc>
          <w:tcPr>
            <w:tcW w:w="1335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93AC9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 xml:space="preserve">Emotional </w:t>
            </w:r>
            <w:r>
              <w:rPr>
                <w:lang w:val="en-GB"/>
              </w:rPr>
              <w:t>s</w:t>
            </w:r>
            <w:r w:rsidRPr="0060752A">
              <w:rPr>
                <w:lang w:val="en-GB"/>
              </w:rPr>
              <w:t>tability</w:t>
            </w:r>
          </w:p>
        </w:tc>
        <w:tc>
          <w:tcPr>
            <w:tcW w:w="1335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12888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Openness</w:t>
            </w:r>
            <w:r>
              <w:rPr>
                <w:lang w:val="en-GB"/>
              </w:rPr>
              <w:t xml:space="preserve"> to experience</w:t>
            </w:r>
          </w:p>
        </w:tc>
      </w:tr>
      <w:tr w:rsidR="00623D8F" w:rsidRPr="0060752A" w14:paraId="4BBBB0B9" w14:textId="77777777" w:rsidTr="005855C3">
        <w:trPr>
          <w:trHeight w:val="325"/>
        </w:trPr>
        <w:tc>
          <w:tcPr>
            <w:tcW w:w="21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A4C4F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Extraversion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E6231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1.000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9D66F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 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411A0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 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514E5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 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F7300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 </w:t>
            </w:r>
          </w:p>
        </w:tc>
      </w:tr>
      <w:tr w:rsidR="00623D8F" w:rsidRPr="0060752A" w14:paraId="0112C31D" w14:textId="77777777" w:rsidTr="005855C3">
        <w:trPr>
          <w:trHeight w:val="325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78E5B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Agreeableness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D4180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0.136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6C2DC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1.000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E5953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45921B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2DE30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</w:p>
        </w:tc>
      </w:tr>
      <w:tr w:rsidR="00623D8F" w:rsidRPr="0060752A" w14:paraId="52EDF02A" w14:textId="77777777" w:rsidTr="005855C3">
        <w:trPr>
          <w:trHeight w:val="325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3E3AF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Conscientiousness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29A9A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0.094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1C5B5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0.286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AA0B3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1.000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3B4E3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F5BB5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</w:p>
        </w:tc>
      </w:tr>
      <w:tr w:rsidR="00623D8F" w:rsidRPr="0060752A" w14:paraId="186DFED6" w14:textId="77777777" w:rsidTr="005855C3">
        <w:trPr>
          <w:trHeight w:val="325"/>
        </w:trPr>
        <w:tc>
          <w:tcPr>
            <w:tcW w:w="2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36B0E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 xml:space="preserve">Emotional </w:t>
            </w:r>
            <w:r>
              <w:rPr>
                <w:lang w:val="en-GB"/>
              </w:rPr>
              <w:t>s</w:t>
            </w:r>
            <w:r w:rsidRPr="0060752A">
              <w:rPr>
                <w:lang w:val="en-GB"/>
              </w:rPr>
              <w:t>tability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EABDD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0.106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40477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0.204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C3880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0.229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0564D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1.000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8C9C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</w:p>
        </w:tc>
      </w:tr>
      <w:tr w:rsidR="00623D8F" w:rsidRPr="0060752A" w14:paraId="57576957" w14:textId="77777777" w:rsidTr="005855C3">
        <w:trPr>
          <w:trHeight w:val="347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61A21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Openness</w:t>
            </w:r>
            <w:r>
              <w:rPr>
                <w:lang w:val="en-GB"/>
              </w:rPr>
              <w:t xml:space="preserve"> to experience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53B49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0.340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00415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0.133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98C0C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0.117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E69ED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0.128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25A1A" w14:textId="77777777" w:rsidR="00623D8F" w:rsidRPr="0060752A" w:rsidRDefault="00623D8F" w:rsidP="005855C3">
            <w:pPr>
              <w:jc w:val="both"/>
              <w:rPr>
                <w:lang w:val="en-GB"/>
              </w:rPr>
            </w:pPr>
            <w:r w:rsidRPr="0060752A">
              <w:rPr>
                <w:lang w:val="en-GB"/>
              </w:rPr>
              <w:t>1.000</w:t>
            </w:r>
          </w:p>
        </w:tc>
      </w:tr>
    </w:tbl>
    <w:p w14:paraId="4F711CE6" w14:textId="77777777" w:rsidR="00623D8F" w:rsidRDefault="00623D8F" w:rsidP="00623D8F">
      <w:pPr>
        <w:jc w:val="both"/>
        <w:rPr>
          <w:sz w:val="20"/>
          <w:szCs w:val="20"/>
          <w:lang w:val="en-GB"/>
        </w:rPr>
      </w:pPr>
      <w:r w:rsidRPr="00C2433A">
        <w:rPr>
          <w:iCs/>
          <w:sz w:val="20"/>
          <w:szCs w:val="20"/>
          <w:lang w:val="en-GB"/>
        </w:rPr>
        <w:t>Notes</w:t>
      </w:r>
      <w:r w:rsidRPr="0060752A">
        <w:rPr>
          <w:i/>
          <w:sz w:val="20"/>
          <w:szCs w:val="20"/>
          <w:lang w:val="en-GB"/>
        </w:rPr>
        <w:t xml:space="preserve">: </w:t>
      </w:r>
      <w:r w:rsidRPr="0060752A">
        <w:rPr>
          <w:sz w:val="20"/>
          <w:szCs w:val="20"/>
          <w:lang w:val="en-GB"/>
        </w:rPr>
        <w:t xml:space="preserve"> </w:t>
      </w:r>
      <w:r w:rsidRPr="00C2433A">
        <w:rPr>
          <w:i/>
          <w:iCs/>
          <w:sz w:val="20"/>
          <w:szCs w:val="20"/>
          <w:lang w:val="en-GB"/>
        </w:rPr>
        <w:t>N</w:t>
      </w:r>
      <w:r w:rsidRPr="0060752A">
        <w:rPr>
          <w:sz w:val="20"/>
          <w:szCs w:val="20"/>
          <w:lang w:val="en-GB"/>
        </w:rPr>
        <w:t xml:space="preserve"> = 1</w:t>
      </w:r>
      <w:r>
        <w:rPr>
          <w:sz w:val="20"/>
          <w:szCs w:val="20"/>
          <w:lang w:val="en-GB"/>
        </w:rPr>
        <w:t>,</w:t>
      </w:r>
      <w:r w:rsidRPr="0060752A">
        <w:rPr>
          <w:sz w:val="20"/>
          <w:szCs w:val="20"/>
          <w:lang w:val="en-GB"/>
        </w:rPr>
        <w:t>704. All correlations are significant at the 1</w:t>
      </w:r>
      <w:r>
        <w:rPr>
          <w:sz w:val="20"/>
          <w:szCs w:val="20"/>
          <w:lang w:val="en-GB"/>
        </w:rPr>
        <w:t> per cent</w:t>
      </w:r>
      <w:r w:rsidRPr="0060752A">
        <w:rPr>
          <w:sz w:val="20"/>
          <w:szCs w:val="20"/>
          <w:lang w:val="en-GB"/>
        </w:rPr>
        <w:t xml:space="preserve"> level.</w:t>
      </w:r>
    </w:p>
    <w:p w14:paraId="32FA8294" w14:textId="6DD51A1C" w:rsidR="0066381D" w:rsidRPr="002912D3" w:rsidRDefault="00623D8F" w:rsidP="003B398A">
      <w:pPr>
        <w:jc w:val="both"/>
        <w:rPr>
          <w:sz w:val="20"/>
          <w:szCs w:val="20"/>
          <w:lang w:val="en-GB"/>
        </w:rPr>
      </w:pPr>
      <w:r w:rsidRPr="002912D3">
        <w:rPr>
          <w:sz w:val="20"/>
          <w:szCs w:val="20"/>
          <w:lang w:val="en-GB"/>
        </w:rPr>
        <w:t xml:space="preserve">Source: Our own calculations based on </w:t>
      </w:r>
      <w:r>
        <w:rPr>
          <w:sz w:val="20"/>
          <w:szCs w:val="20"/>
          <w:lang w:val="en-GB"/>
        </w:rPr>
        <w:t xml:space="preserve">our </w:t>
      </w:r>
      <w:r w:rsidRPr="002912D3">
        <w:rPr>
          <w:sz w:val="20"/>
          <w:szCs w:val="20"/>
          <w:lang w:val="en-GB"/>
        </w:rPr>
        <w:t xml:space="preserve">survey data. </w:t>
      </w:r>
      <w:r w:rsidR="002C2035" w:rsidRPr="0060752A">
        <w:rPr>
          <w:lang w:val="en-GB"/>
        </w:rPr>
        <w:t xml:space="preserve"> </w:t>
      </w:r>
    </w:p>
    <w:p w14:paraId="316519E6" w14:textId="011AA6A9" w:rsidR="00155C0B" w:rsidRPr="0060752A" w:rsidRDefault="00155C0B" w:rsidP="004B3058">
      <w:pPr>
        <w:jc w:val="both"/>
        <w:rPr>
          <w:lang w:val="en-GB"/>
        </w:rPr>
      </w:pPr>
    </w:p>
    <w:p w14:paraId="413D3DD7" w14:textId="77777777" w:rsidR="007A0272" w:rsidRPr="0060752A" w:rsidRDefault="007A0272" w:rsidP="00293D82">
      <w:pPr>
        <w:spacing w:line="480" w:lineRule="auto"/>
        <w:jc w:val="both"/>
        <w:rPr>
          <w:lang w:val="en-GB"/>
        </w:rPr>
      </w:pPr>
    </w:p>
    <w:p w14:paraId="40706581" w14:textId="5FA4E826" w:rsidR="00ED071E" w:rsidRDefault="00ED071E" w:rsidP="00293D82">
      <w:pPr>
        <w:spacing w:line="480" w:lineRule="auto"/>
        <w:jc w:val="both"/>
        <w:rPr>
          <w:lang w:val="en-GB"/>
        </w:rPr>
      </w:pPr>
      <w:r>
        <w:rPr>
          <w:lang w:val="en-GB"/>
        </w:rPr>
        <w:br w:type="page"/>
      </w:r>
    </w:p>
    <w:p w14:paraId="33DC7203" w14:textId="39AE430C" w:rsidR="00477264" w:rsidRPr="0060752A" w:rsidRDefault="00477264" w:rsidP="00477264">
      <w:pPr>
        <w:jc w:val="both"/>
        <w:rPr>
          <w:lang w:val="en-GB"/>
        </w:rPr>
      </w:pPr>
      <w:r w:rsidRPr="0060752A">
        <w:rPr>
          <w:lang w:val="en-GB"/>
        </w:rPr>
        <w:lastRenderedPageBreak/>
        <w:t xml:space="preserve">Table </w:t>
      </w:r>
      <w:r w:rsidR="00133913">
        <w:rPr>
          <w:lang w:val="en-GB"/>
        </w:rPr>
        <w:t>S</w:t>
      </w:r>
      <w:r w:rsidRPr="0060752A">
        <w:rPr>
          <w:lang w:val="en-GB"/>
        </w:rPr>
        <w:t>A</w:t>
      </w:r>
      <w:r w:rsidR="0067579E" w:rsidRPr="0060752A">
        <w:rPr>
          <w:lang w:val="en-GB"/>
        </w:rPr>
        <w:t>5</w:t>
      </w:r>
      <w:r w:rsidRPr="0060752A">
        <w:rPr>
          <w:lang w:val="en-GB"/>
        </w:rPr>
        <w:t xml:space="preserve">. Ordered logit regression results: </w:t>
      </w:r>
      <w:r w:rsidR="00133913">
        <w:rPr>
          <w:lang w:val="en-GB"/>
        </w:rPr>
        <w:t>C</w:t>
      </w:r>
      <w:r w:rsidRPr="0060752A">
        <w:rPr>
          <w:lang w:val="en-GB"/>
        </w:rPr>
        <w:t xml:space="preserve">hildren in the household and WFH duration 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884"/>
        <w:gridCol w:w="1261"/>
        <w:gridCol w:w="1134"/>
        <w:gridCol w:w="1134"/>
        <w:gridCol w:w="1261"/>
        <w:gridCol w:w="65"/>
        <w:gridCol w:w="1114"/>
        <w:gridCol w:w="63"/>
        <w:gridCol w:w="1156"/>
      </w:tblGrid>
      <w:tr w:rsidR="00477264" w:rsidRPr="00FE4464" w14:paraId="141D5696" w14:textId="77777777" w:rsidTr="00A8538F">
        <w:trPr>
          <w:trHeight w:val="340"/>
          <w:jc w:val="center"/>
        </w:trPr>
        <w:tc>
          <w:tcPr>
            <w:tcW w:w="188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A83F" w14:textId="087174EE" w:rsidR="00477264" w:rsidRPr="00A8538F" w:rsidRDefault="00477264" w:rsidP="0000318D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Dep</w:t>
            </w:r>
            <w:r w:rsidR="00561DF0" w:rsidRPr="00A8538F">
              <w:rPr>
                <w:color w:val="000000"/>
                <w:sz w:val="20"/>
                <w:szCs w:val="20"/>
                <w:lang w:val="en-GB"/>
              </w:rPr>
              <w:t>endent</w:t>
            </w:r>
            <w:r w:rsidRPr="00A8538F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561DF0" w:rsidRPr="00A8538F">
              <w:rPr>
                <w:color w:val="000000"/>
                <w:sz w:val="20"/>
                <w:szCs w:val="20"/>
                <w:lang w:val="en-GB"/>
              </w:rPr>
              <w:t>v</w:t>
            </w:r>
            <w:r w:rsidRPr="00A8538F">
              <w:rPr>
                <w:color w:val="000000"/>
                <w:sz w:val="20"/>
                <w:szCs w:val="20"/>
                <w:lang w:val="en-GB"/>
              </w:rPr>
              <w:t>ariable</w:t>
            </w:r>
          </w:p>
        </w:tc>
        <w:tc>
          <w:tcPr>
            <w:tcW w:w="352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337A" w14:textId="77777777" w:rsidR="00477264" w:rsidRPr="00A8538F" w:rsidRDefault="00477264" w:rsidP="0000318D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Productivity</w:t>
            </w:r>
          </w:p>
        </w:tc>
        <w:tc>
          <w:tcPr>
            <w:tcW w:w="3659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8D12C" w14:textId="039F8370" w:rsidR="00477264" w:rsidRPr="00A8538F" w:rsidRDefault="00477264" w:rsidP="0000318D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 xml:space="preserve">Preference for </w:t>
            </w:r>
            <w:r w:rsidR="00565E6A" w:rsidRPr="00A8538F">
              <w:rPr>
                <w:color w:val="000000"/>
                <w:sz w:val="20"/>
                <w:szCs w:val="20"/>
                <w:lang w:val="en-GB"/>
              </w:rPr>
              <w:t>WFH</w:t>
            </w:r>
          </w:p>
        </w:tc>
      </w:tr>
      <w:tr w:rsidR="00477264" w:rsidRPr="00FE4464" w14:paraId="047129DD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F648D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14792" w14:textId="19822347" w:rsidR="00477264" w:rsidRPr="00A8538F" w:rsidRDefault="00477264" w:rsidP="0000318D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Coef</w:t>
            </w:r>
            <w:r w:rsidR="00332F18" w:rsidRPr="00A8538F">
              <w:rPr>
                <w:color w:val="000000"/>
                <w:sz w:val="20"/>
                <w:szCs w:val="20"/>
                <w:lang w:val="en-GB"/>
              </w:rPr>
              <w:t>ficient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F3776B" w14:textId="77777777" w:rsidR="00477264" w:rsidRPr="00A8538F" w:rsidRDefault="00477264" w:rsidP="0000318D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Marginal effects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91360" w14:textId="30900820" w:rsidR="00477264" w:rsidRPr="00A8538F" w:rsidRDefault="00477264" w:rsidP="0000318D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Coef</w:t>
            </w:r>
            <w:r w:rsidR="00332F18" w:rsidRPr="00A8538F">
              <w:rPr>
                <w:color w:val="000000"/>
                <w:sz w:val="20"/>
                <w:szCs w:val="20"/>
                <w:lang w:val="en-GB"/>
              </w:rPr>
              <w:t>ficient</w:t>
            </w:r>
          </w:p>
        </w:tc>
        <w:tc>
          <w:tcPr>
            <w:tcW w:w="23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8F2A2" w14:textId="77777777" w:rsidR="00477264" w:rsidRPr="00A8538F" w:rsidRDefault="00477264" w:rsidP="0000318D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Marginal effects</w:t>
            </w:r>
          </w:p>
        </w:tc>
      </w:tr>
      <w:tr w:rsidR="00477264" w:rsidRPr="00FE4464" w14:paraId="22B5EE90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FC441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8913B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8774D" w14:textId="63A0113F" w:rsidR="00477264" w:rsidRPr="00A8538F" w:rsidRDefault="00477264" w:rsidP="0000318D">
            <w:pPr>
              <w:rPr>
                <w:color w:val="000000"/>
                <w:sz w:val="20"/>
                <w:szCs w:val="20"/>
              </w:rPr>
            </w:pPr>
            <w:r w:rsidRPr="00A8538F">
              <w:rPr>
                <w:color w:val="000000"/>
                <w:sz w:val="20"/>
                <w:szCs w:val="20"/>
              </w:rPr>
              <w:t>Higher in office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589E8" w14:textId="07FDFF73" w:rsidR="00477264" w:rsidRPr="00A8538F" w:rsidRDefault="00477264" w:rsidP="0000318D">
            <w:pPr>
              <w:rPr>
                <w:color w:val="000000"/>
                <w:sz w:val="20"/>
                <w:szCs w:val="20"/>
              </w:rPr>
            </w:pPr>
            <w:r w:rsidRPr="00A8538F">
              <w:rPr>
                <w:color w:val="000000"/>
                <w:sz w:val="20"/>
                <w:szCs w:val="20"/>
              </w:rPr>
              <w:t xml:space="preserve">Higher from home       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86751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066B1" w14:textId="0EC2807F" w:rsidR="00477264" w:rsidRPr="00A8538F" w:rsidRDefault="00477264" w:rsidP="0000318D">
            <w:pPr>
              <w:rPr>
                <w:color w:val="000000"/>
                <w:sz w:val="20"/>
                <w:szCs w:val="20"/>
              </w:rPr>
            </w:pPr>
            <w:r w:rsidRPr="00A8538F">
              <w:rPr>
                <w:color w:val="000000"/>
                <w:sz w:val="20"/>
                <w:szCs w:val="20"/>
              </w:rPr>
              <w:t>Prefers in office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6D17" w14:textId="32AA67A7" w:rsidR="00477264" w:rsidRPr="00A8538F" w:rsidRDefault="00477264" w:rsidP="0000318D">
            <w:pPr>
              <w:rPr>
                <w:color w:val="000000"/>
                <w:sz w:val="20"/>
                <w:szCs w:val="20"/>
              </w:rPr>
            </w:pPr>
            <w:r w:rsidRPr="00A8538F">
              <w:rPr>
                <w:color w:val="000000"/>
                <w:sz w:val="20"/>
                <w:szCs w:val="20"/>
              </w:rPr>
              <w:t xml:space="preserve">Prefers from home       </w:t>
            </w:r>
          </w:p>
        </w:tc>
      </w:tr>
      <w:tr w:rsidR="00477264" w:rsidRPr="00FE4464" w14:paraId="5D904D99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DD0AC" w14:textId="20948958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Children below 18 in the household (vs none)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B1F77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EEEB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4B3A4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C8799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ADD6F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DD7E6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477264" w:rsidRPr="00FE4464" w14:paraId="6E4C3909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DC585" w14:textId="4490BA52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1–2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F381D" w14:textId="7F48BBEB" w:rsidR="00477264" w:rsidRPr="00A8538F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–</w:t>
            </w:r>
            <w:r w:rsidR="00477264" w:rsidRPr="00A8538F">
              <w:rPr>
                <w:color w:val="000000"/>
                <w:sz w:val="20"/>
                <w:szCs w:val="20"/>
                <w:lang w:val="en-GB"/>
              </w:rPr>
              <w:t>0.327***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87E3C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0.066***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AB80" w14:textId="245E284C" w:rsidR="00477264" w:rsidRPr="00A8538F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–</w:t>
            </w:r>
            <w:r w:rsidR="00477264" w:rsidRPr="00A8538F">
              <w:rPr>
                <w:color w:val="000000"/>
                <w:sz w:val="20"/>
                <w:szCs w:val="20"/>
                <w:lang w:val="en-GB"/>
              </w:rPr>
              <w:t>0.060***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30FF7" w14:textId="4B3CC440" w:rsidR="00477264" w:rsidRPr="00A8538F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–</w:t>
            </w:r>
            <w:r w:rsidR="00477264" w:rsidRPr="00A8538F">
              <w:rPr>
                <w:color w:val="000000"/>
                <w:sz w:val="20"/>
                <w:szCs w:val="20"/>
                <w:lang w:val="en-GB"/>
              </w:rPr>
              <w:t>0.204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82EA0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0.033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19D4B" w14:textId="7541A084" w:rsidR="00477264" w:rsidRPr="00A8538F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–</w:t>
            </w:r>
            <w:r w:rsidR="00477264" w:rsidRPr="00A8538F">
              <w:rPr>
                <w:color w:val="000000"/>
                <w:sz w:val="20"/>
                <w:szCs w:val="20"/>
                <w:lang w:val="en-GB"/>
              </w:rPr>
              <w:t>0.038</w:t>
            </w:r>
          </w:p>
        </w:tc>
      </w:tr>
      <w:tr w:rsidR="00477264" w:rsidRPr="00FE4464" w14:paraId="30231B26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4F298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B9CF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(0.119)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3F7F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(0.024)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CA5E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(0.022)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4732E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(0.138)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38F72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(0.022)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2B2D2" w14:textId="77777777" w:rsidR="00477264" w:rsidRPr="00A8538F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A8538F">
              <w:rPr>
                <w:color w:val="000000"/>
                <w:sz w:val="20"/>
                <w:szCs w:val="20"/>
                <w:lang w:val="en-GB"/>
              </w:rPr>
              <w:t>(0.025)</w:t>
            </w:r>
          </w:p>
        </w:tc>
      </w:tr>
      <w:tr w:rsidR="00477264" w:rsidRPr="00FE4464" w14:paraId="108B7A68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55A32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3+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1FE65" w14:textId="71B7DCEA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  <w:lang w:val="en-GB"/>
              </w:rPr>
              <w:t>0.565**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0E15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0.116**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E079B" w14:textId="35A2EBAE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  <w:lang w:val="en-GB"/>
              </w:rPr>
              <w:t>0.100**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6A630" w14:textId="463830A0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  <w:lang w:val="en-GB"/>
              </w:rPr>
              <w:t>0.490*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27A51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0.082*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B716E" w14:textId="74AE4FBA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  <w:lang w:val="en-GB"/>
              </w:rPr>
              <w:t>0.092*</w:t>
            </w:r>
          </w:p>
        </w:tc>
      </w:tr>
      <w:tr w:rsidR="00477264" w:rsidRPr="00FE4464" w14:paraId="17A4A1AB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39B68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DC464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(0.262)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017A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744B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(0.042)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4C51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(0.267)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FAEEC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(0.047)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65200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(0.051)</w:t>
            </w:r>
          </w:p>
        </w:tc>
      </w:tr>
      <w:tr w:rsidR="00477264" w:rsidRPr="00FE4464" w14:paraId="61529864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E488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WFH duration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DECDA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50EC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12C85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5F2C2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EF3D6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D4024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477264" w:rsidRPr="00FE4464" w14:paraId="676D284A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2326" w14:textId="5E357819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(vs &gt; 6 mon</w:t>
            </w:r>
            <w:r w:rsidR="003465A6" w:rsidRPr="003B398A">
              <w:rPr>
                <w:color w:val="000000"/>
                <w:sz w:val="20"/>
                <w:szCs w:val="20"/>
                <w:lang w:val="en-GB"/>
              </w:rPr>
              <w:t>t</w:t>
            </w:r>
            <w:r w:rsidRPr="003B398A">
              <w:rPr>
                <w:color w:val="000000"/>
                <w:sz w:val="20"/>
                <w:szCs w:val="20"/>
                <w:lang w:val="en-GB"/>
              </w:rPr>
              <w:t>hs)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A3514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3D06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8D336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BBC20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CD4B1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86591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477264" w:rsidRPr="00FE4464" w14:paraId="35C8C74A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9D0F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1 month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94428" w14:textId="444D35B7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</w:rPr>
              <w:t>1.031***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881A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0.221***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118E" w14:textId="61129721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</w:rPr>
              <w:t>0.173***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052B2" w14:textId="213CAB2D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</w:rPr>
              <w:t>1.376***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55E6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0.252***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92D3A" w14:textId="2F7F9D30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</w:rPr>
              <w:t>0.270***</w:t>
            </w:r>
          </w:p>
        </w:tc>
      </w:tr>
      <w:tr w:rsidR="00477264" w:rsidRPr="00FE4464" w14:paraId="2917E578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24B7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8194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(0.332)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309C5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9FE9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(0.045)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58337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(0.301)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79918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(0.060)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8E578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(0.059)</w:t>
            </w:r>
          </w:p>
        </w:tc>
      </w:tr>
      <w:tr w:rsidR="00477264" w:rsidRPr="00FE4464" w14:paraId="63E580FC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F1E8" w14:textId="0EB84981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2–3 months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F056E" w14:textId="4EE8992D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</w:rPr>
              <w:t>0.887***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036FB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0.189***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A3C36" w14:textId="4C493FD8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</w:rPr>
              <w:t>0.154***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4B55E" w14:textId="31231BE9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</w:rPr>
              <w:t>0.790***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E9125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0.136***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028C" w14:textId="2AF27657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</w:rPr>
              <w:t>0.154***</w:t>
            </w:r>
          </w:p>
        </w:tc>
      </w:tr>
      <w:tr w:rsidR="00477264" w:rsidRPr="00FE4464" w14:paraId="616FCBCF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325D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30C6C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(0.169)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08824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9F0D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(0.026)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849E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(0.183)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1ABDE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(0.034)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30E6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(0.037)</w:t>
            </w:r>
          </w:p>
        </w:tc>
      </w:tr>
      <w:tr w:rsidR="00477264" w:rsidRPr="00FE4464" w14:paraId="3BFB8A6A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A9F64" w14:textId="09B1FDC5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4–6 months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174F9" w14:textId="0C611E26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</w:rPr>
              <w:t>0.446***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176C1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0.092***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5C586" w14:textId="04CE5866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</w:rPr>
              <w:t>0.084***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75F74" w14:textId="7B21E431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</w:rPr>
              <w:t>0.428***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9A57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0.070***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ED418" w14:textId="5E3C3345" w:rsidR="00477264" w:rsidRPr="003B398A" w:rsidRDefault="0022306F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–</w:t>
            </w:r>
            <w:r w:rsidR="00477264" w:rsidRPr="003B398A">
              <w:rPr>
                <w:color w:val="000000"/>
                <w:sz w:val="20"/>
                <w:szCs w:val="20"/>
              </w:rPr>
              <w:t>0.081***</w:t>
            </w:r>
          </w:p>
        </w:tc>
      </w:tr>
      <w:tr w:rsidR="00477264" w:rsidRPr="00FE4464" w14:paraId="1ABAB427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DB5A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0D32C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(0.137)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4A20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934E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(0.022)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9DD78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(0.149)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1F08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(0.025)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D58F6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(0.029)</w:t>
            </w:r>
          </w:p>
        </w:tc>
      </w:tr>
      <w:tr w:rsidR="00477264" w:rsidRPr="00FE4464" w14:paraId="60F43BB0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9E0D65" w14:textId="77777777" w:rsidR="00477264" w:rsidRPr="003B398A" w:rsidRDefault="00477264" w:rsidP="0000318D">
            <w:pPr>
              <w:rPr>
                <w:sz w:val="20"/>
                <w:szCs w:val="20"/>
              </w:rPr>
            </w:pPr>
            <w:r w:rsidRPr="003B398A">
              <w:rPr>
                <w:color w:val="000000"/>
                <w:sz w:val="20"/>
                <w:szCs w:val="20"/>
              </w:rPr>
              <w:t>Base rates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748B45" w14:textId="77777777" w:rsidR="00477264" w:rsidRPr="003B398A" w:rsidRDefault="00477264" w:rsidP="000031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0FBD04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0.367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D33252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  <w:lang w:val="en-GB"/>
              </w:rPr>
              <w:t>0.310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E54F8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E9E7C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2E693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0.631</w:t>
            </w:r>
          </w:p>
        </w:tc>
      </w:tr>
      <w:tr w:rsidR="00477264" w:rsidRPr="00FE4464" w14:paraId="5DD1C5B6" w14:textId="77777777" w:rsidTr="00A8538F">
        <w:trPr>
          <w:trHeight w:val="320"/>
          <w:jc w:val="center"/>
        </w:trPr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A2C82D" w14:textId="7FCCCCE2" w:rsidR="00477264" w:rsidRPr="003B398A" w:rsidRDefault="00477264" w:rsidP="0000318D">
            <w:pPr>
              <w:rPr>
                <w:color w:val="000000"/>
                <w:sz w:val="20"/>
                <w:szCs w:val="20"/>
              </w:rPr>
            </w:pPr>
            <w:r w:rsidRPr="003B398A">
              <w:rPr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E615C7" w14:textId="6B4DD8E8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sz w:val="20"/>
                <w:szCs w:val="20"/>
              </w:rPr>
              <w:t>1</w:t>
            </w:r>
            <w:r w:rsidR="0056017B" w:rsidRPr="003B398A">
              <w:rPr>
                <w:sz w:val="20"/>
                <w:szCs w:val="20"/>
              </w:rPr>
              <w:t xml:space="preserve"> </w:t>
            </w:r>
            <w:r w:rsidRPr="003B398A">
              <w:rPr>
                <w:sz w:val="20"/>
                <w:szCs w:val="20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DE4C4E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24473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8A9D8" w14:textId="52E3C3CD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  <w:r w:rsidRPr="003B398A">
              <w:rPr>
                <w:color w:val="000000"/>
                <w:sz w:val="20"/>
                <w:szCs w:val="20"/>
              </w:rPr>
              <w:t>1</w:t>
            </w:r>
            <w:r w:rsidR="0056017B" w:rsidRPr="003B398A">
              <w:rPr>
                <w:color w:val="000000"/>
                <w:sz w:val="20"/>
                <w:szCs w:val="20"/>
              </w:rPr>
              <w:t xml:space="preserve"> </w:t>
            </w:r>
            <w:r w:rsidRPr="003B398A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8BAE8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71E49" w14:textId="77777777" w:rsidR="00477264" w:rsidRPr="003B398A" w:rsidRDefault="00477264" w:rsidP="0000318D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6ECFB54" w14:textId="3365BA43" w:rsidR="001E77FB" w:rsidRDefault="001E77FB" w:rsidP="001E77FB">
      <w:pPr>
        <w:jc w:val="both"/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 xml:space="preserve">*, ** and *** indicate statistical significance at the 10, 5 and 1 per cent levels, respectively. </w:t>
      </w:r>
    </w:p>
    <w:p w14:paraId="2A7137DF" w14:textId="2D153051" w:rsidR="004B3058" w:rsidRDefault="00477264" w:rsidP="00293D82">
      <w:pPr>
        <w:jc w:val="both"/>
        <w:rPr>
          <w:color w:val="000000"/>
          <w:sz w:val="20"/>
          <w:szCs w:val="20"/>
          <w:lang w:val="en-GB"/>
        </w:rPr>
      </w:pPr>
      <w:r w:rsidRPr="00C2433A">
        <w:rPr>
          <w:iCs/>
          <w:color w:val="000000"/>
          <w:sz w:val="20"/>
          <w:szCs w:val="20"/>
          <w:lang w:val="en-GB"/>
        </w:rPr>
        <w:t>Notes:</w:t>
      </w:r>
      <w:r w:rsidRPr="0060752A">
        <w:rPr>
          <w:i/>
          <w:color w:val="000000"/>
          <w:sz w:val="20"/>
          <w:szCs w:val="20"/>
          <w:lang w:val="en-GB"/>
        </w:rPr>
        <w:t xml:space="preserve"> </w:t>
      </w:r>
      <w:r w:rsidRPr="0060752A">
        <w:rPr>
          <w:sz w:val="20"/>
          <w:szCs w:val="20"/>
          <w:lang w:val="en-GB"/>
        </w:rPr>
        <w:t>Three-categor</w:t>
      </w:r>
      <w:r w:rsidR="002B36C4">
        <w:rPr>
          <w:sz w:val="20"/>
          <w:szCs w:val="20"/>
          <w:lang w:val="en-GB"/>
        </w:rPr>
        <w:t>y</w:t>
      </w:r>
      <w:r w:rsidRPr="0060752A">
        <w:rPr>
          <w:sz w:val="20"/>
          <w:szCs w:val="20"/>
          <w:lang w:val="en-GB"/>
        </w:rPr>
        <w:t xml:space="preserve"> ordered logit estimates. Marginal effects (averaged across the estimation sample) show the change in predicted probabilities</w:t>
      </w:r>
      <w:r w:rsidR="0028327C" w:rsidRPr="0060752A">
        <w:rPr>
          <w:sz w:val="20"/>
          <w:szCs w:val="20"/>
          <w:lang w:val="en-GB"/>
        </w:rPr>
        <w:t>:</w:t>
      </w:r>
      <w:r w:rsidRPr="0060752A">
        <w:rPr>
          <w:sz w:val="20"/>
          <w:szCs w:val="20"/>
          <w:lang w:val="en-GB"/>
        </w:rPr>
        <w:t xml:space="preserve"> for the given duration of WFH compared </w:t>
      </w:r>
      <w:r w:rsidR="00DA1CD3">
        <w:rPr>
          <w:sz w:val="20"/>
          <w:szCs w:val="20"/>
          <w:lang w:val="en-GB"/>
        </w:rPr>
        <w:t>with</w:t>
      </w:r>
      <w:r w:rsidRPr="0060752A">
        <w:rPr>
          <w:sz w:val="20"/>
          <w:szCs w:val="20"/>
          <w:lang w:val="en-GB"/>
        </w:rPr>
        <w:t xml:space="preserve"> otherwise similar workers experiencing WFH for more than </w:t>
      </w:r>
      <w:r w:rsidR="00FE4464">
        <w:rPr>
          <w:sz w:val="20"/>
          <w:szCs w:val="20"/>
          <w:lang w:val="en-GB"/>
        </w:rPr>
        <w:t>six</w:t>
      </w:r>
      <w:r w:rsidRPr="0060752A">
        <w:rPr>
          <w:sz w:val="20"/>
          <w:szCs w:val="20"/>
          <w:lang w:val="en-GB"/>
        </w:rPr>
        <w:t xml:space="preserve"> months</w:t>
      </w:r>
      <w:r w:rsidR="0028327C" w:rsidRPr="0060752A">
        <w:rPr>
          <w:sz w:val="20"/>
          <w:szCs w:val="20"/>
          <w:lang w:val="en-GB"/>
        </w:rPr>
        <w:t xml:space="preserve">; for the given number of children compared </w:t>
      </w:r>
      <w:r w:rsidR="00C338F7">
        <w:rPr>
          <w:sz w:val="20"/>
          <w:szCs w:val="20"/>
          <w:lang w:val="en-GB"/>
        </w:rPr>
        <w:t>with</w:t>
      </w:r>
      <w:r w:rsidR="0028327C" w:rsidRPr="0060752A">
        <w:rPr>
          <w:sz w:val="20"/>
          <w:szCs w:val="20"/>
          <w:lang w:val="en-GB"/>
        </w:rPr>
        <w:t xml:space="preserve"> otherwise similar workers without children.</w:t>
      </w:r>
      <w:r w:rsidRPr="0060752A">
        <w:rPr>
          <w:sz w:val="20"/>
          <w:szCs w:val="20"/>
          <w:lang w:val="en-GB"/>
        </w:rPr>
        <w:t xml:space="preserve"> </w:t>
      </w:r>
      <w:r w:rsidR="0028327C" w:rsidRPr="0060752A">
        <w:rPr>
          <w:sz w:val="20"/>
          <w:szCs w:val="20"/>
          <w:lang w:val="en-GB"/>
        </w:rPr>
        <w:t>Other</w:t>
      </w:r>
      <w:r w:rsidRPr="0060752A">
        <w:rPr>
          <w:sz w:val="20"/>
          <w:szCs w:val="20"/>
          <w:lang w:val="en-GB"/>
        </w:rPr>
        <w:t xml:space="preserve"> controls: </w:t>
      </w:r>
      <w:r w:rsidR="00927D5D">
        <w:rPr>
          <w:sz w:val="20"/>
          <w:szCs w:val="20"/>
          <w:lang w:val="en-GB"/>
        </w:rPr>
        <w:t>p</w:t>
      </w:r>
      <w:r w:rsidR="0028327C" w:rsidRPr="0060752A">
        <w:rPr>
          <w:sz w:val="20"/>
          <w:szCs w:val="20"/>
          <w:lang w:val="en-GB"/>
        </w:rPr>
        <w:t xml:space="preserve">ersonality traits; </w:t>
      </w:r>
      <w:r w:rsidR="00927D5D">
        <w:rPr>
          <w:color w:val="000000"/>
          <w:sz w:val="20"/>
          <w:szCs w:val="20"/>
          <w:lang w:val="en-GB"/>
        </w:rPr>
        <w:t>c</w:t>
      </w:r>
      <w:r w:rsidRPr="0060752A">
        <w:rPr>
          <w:color w:val="000000"/>
          <w:sz w:val="20"/>
          <w:szCs w:val="20"/>
          <w:lang w:val="en-GB"/>
        </w:rPr>
        <w:t xml:space="preserve">ommuting to </w:t>
      </w:r>
      <w:r w:rsidR="002B36C4">
        <w:rPr>
          <w:color w:val="000000"/>
          <w:sz w:val="20"/>
          <w:szCs w:val="20"/>
          <w:lang w:val="en-GB"/>
        </w:rPr>
        <w:t xml:space="preserve">the </w:t>
      </w:r>
      <w:r w:rsidRPr="0060752A">
        <w:rPr>
          <w:color w:val="000000"/>
          <w:sz w:val="20"/>
          <w:szCs w:val="20"/>
          <w:lang w:val="en-GB"/>
        </w:rPr>
        <w:t xml:space="preserve">office (time and cost); </w:t>
      </w:r>
      <w:r w:rsidR="00927D5D">
        <w:rPr>
          <w:color w:val="000000"/>
          <w:sz w:val="20"/>
          <w:szCs w:val="20"/>
          <w:lang w:val="en-GB"/>
        </w:rPr>
        <w:t>a</w:t>
      </w:r>
      <w:r w:rsidRPr="0060752A">
        <w:rPr>
          <w:color w:val="000000"/>
          <w:sz w:val="20"/>
          <w:szCs w:val="20"/>
          <w:lang w:val="en-GB"/>
        </w:rPr>
        <w:t>ge, gender</w:t>
      </w:r>
      <w:r w:rsidR="002B36C4">
        <w:rPr>
          <w:color w:val="000000"/>
          <w:sz w:val="20"/>
          <w:szCs w:val="20"/>
          <w:lang w:val="en-GB"/>
        </w:rPr>
        <w:t xml:space="preserve"> and</w:t>
      </w:r>
      <w:r w:rsidRPr="0060752A">
        <w:rPr>
          <w:color w:val="000000"/>
          <w:sz w:val="20"/>
          <w:szCs w:val="20"/>
          <w:lang w:val="en-GB"/>
        </w:rPr>
        <w:t xml:space="preserve"> family status (</w:t>
      </w:r>
      <w:r w:rsidR="00FE4464">
        <w:rPr>
          <w:color w:val="000000"/>
          <w:sz w:val="20"/>
          <w:szCs w:val="20"/>
          <w:lang w:val="en-GB"/>
        </w:rPr>
        <w:t>three</w:t>
      </w:r>
      <w:r w:rsidRPr="0060752A">
        <w:rPr>
          <w:color w:val="000000"/>
          <w:sz w:val="20"/>
          <w:szCs w:val="20"/>
          <w:lang w:val="en-GB"/>
        </w:rPr>
        <w:t xml:space="preserve"> categories)</w:t>
      </w:r>
      <w:r w:rsidR="00927D5D">
        <w:rPr>
          <w:color w:val="000000"/>
          <w:sz w:val="20"/>
          <w:szCs w:val="20"/>
          <w:lang w:val="en-GB"/>
        </w:rPr>
        <w:t>;</w:t>
      </w:r>
      <w:r w:rsidRPr="0060752A">
        <w:rPr>
          <w:color w:val="000000"/>
          <w:sz w:val="20"/>
          <w:szCs w:val="20"/>
          <w:lang w:val="en-GB"/>
        </w:rPr>
        <w:t xml:space="preserve"> native language; </w:t>
      </w:r>
      <w:r w:rsidR="00927D5D">
        <w:rPr>
          <w:color w:val="000000"/>
          <w:sz w:val="20"/>
          <w:szCs w:val="20"/>
          <w:lang w:val="en-GB"/>
        </w:rPr>
        <w:t>e</w:t>
      </w:r>
      <w:r w:rsidRPr="0060752A">
        <w:rPr>
          <w:color w:val="000000"/>
          <w:sz w:val="20"/>
          <w:szCs w:val="20"/>
          <w:lang w:val="en-GB"/>
        </w:rPr>
        <w:t>ducational attainment (</w:t>
      </w:r>
      <w:r w:rsidR="00FE4464">
        <w:rPr>
          <w:color w:val="000000"/>
          <w:sz w:val="20"/>
          <w:szCs w:val="20"/>
          <w:lang w:val="en-GB"/>
        </w:rPr>
        <w:t>six</w:t>
      </w:r>
      <w:r w:rsidRPr="0060752A">
        <w:rPr>
          <w:color w:val="000000"/>
          <w:sz w:val="20"/>
          <w:szCs w:val="20"/>
          <w:lang w:val="en-GB"/>
        </w:rPr>
        <w:t xml:space="preserve"> categories); </w:t>
      </w:r>
      <w:r w:rsidR="00927D5D">
        <w:rPr>
          <w:color w:val="000000"/>
          <w:sz w:val="20"/>
          <w:szCs w:val="20"/>
          <w:lang w:val="en-GB"/>
        </w:rPr>
        <w:t>d</w:t>
      </w:r>
      <w:r w:rsidRPr="0060752A">
        <w:rPr>
          <w:color w:val="000000"/>
          <w:sz w:val="20"/>
          <w:szCs w:val="20"/>
          <w:lang w:val="en-GB"/>
        </w:rPr>
        <w:t xml:space="preserve">ummy for living in a detached house; </w:t>
      </w:r>
      <w:r w:rsidR="00927D5D">
        <w:rPr>
          <w:sz w:val="20"/>
          <w:szCs w:val="20"/>
          <w:lang w:val="en-GB"/>
        </w:rPr>
        <w:t>j</w:t>
      </w:r>
      <w:r w:rsidRPr="0060752A">
        <w:rPr>
          <w:sz w:val="20"/>
          <w:szCs w:val="20"/>
          <w:lang w:val="en-GB"/>
        </w:rPr>
        <w:t>ob characteristics: NACE classification (</w:t>
      </w:r>
      <w:r w:rsidR="00FE4464">
        <w:rPr>
          <w:sz w:val="20"/>
          <w:szCs w:val="20"/>
          <w:lang w:val="en-GB"/>
        </w:rPr>
        <w:t>ten</w:t>
      </w:r>
      <w:r w:rsidRPr="0060752A">
        <w:rPr>
          <w:sz w:val="20"/>
          <w:szCs w:val="20"/>
          <w:lang w:val="en-GB"/>
        </w:rPr>
        <w:t xml:space="preserve"> categories), supervisory position, pre-COVID experience of WFH and cross-border teleworking</w:t>
      </w:r>
      <w:r w:rsidR="003465A6" w:rsidRPr="0060752A">
        <w:rPr>
          <w:sz w:val="20"/>
          <w:szCs w:val="20"/>
          <w:lang w:val="en-GB"/>
        </w:rPr>
        <w:t xml:space="preserve">. </w:t>
      </w:r>
      <w:r w:rsidRPr="0060752A">
        <w:rPr>
          <w:color w:val="000000"/>
          <w:sz w:val="20"/>
          <w:szCs w:val="20"/>
          <w:lang w:val="en-GB"/>
        </w:rPr>
        <w:t xml:space="preserve">Robust standard errors </w:t>
      </w:r>
      <w:r w:rsidR="001E77FB">
        <w:rPr>
          <w:color w:val="000000"/>
          <w:sz w:val="20"/>
          <w:szCs w:val="20"/>
          <w:lang w:val="en-GB"/>
        </w:rPr>
        <w:t xml:space="preserve">appear </w:t>
      </w:r>
      <w:r w:rsidRPr="0060752A">
        <w:rPr>
          <w:color w:val="000000"/>
          <w:sz w:val="20"/>
          <w:szCs w:val="20"/>
          <w:lang w:val="en-GB"/>
        </w:rPr>
        <w:t>in parentheses.</w:t>
      </w:r>
    </w:p>
    <w:p w14:paraId="4720DC6B" w14:textId="77777777" w:rsidR="006013C1" w:rsidRPr="002912D3" w:rsidRDefault="006013C1" w:rsidP="006013C1">
      <w:pPr>
        <w:spacing w:line="480" w:lineRule="auto"/>
        <w:jc w:val="both"/>
        <w:rPr>
          <w:sz w:val="20"/>
          <w:szCs w:val="20"/>
          <w:lang w:val="en-GB"/>
        </w:rPr>
      </w:pPr>
      <w:r w:rsidRPr="002912D3">
        <w:rPr>
          <w:sz w:val="20"/>
          <w:szCs w:val="20"/>
          <w:lang w:val="en-GB"/>
        </w:rPr>
        <w:t xml:space="preserve">Source: Our own calculations based on </w:t>
      </w:r>
      <w:r>
        <w:rPr>
          <w:sz w:val="20"/>
          <w:szCs w:val="20"/>
          <w:lang w:val="en-GB"/>
        </w:rPr>
        <w:t xml:space="preserve">our </w:t>
      </w:r>
      <w:r w:rsidRPr="002912D3">
        <w:rPr>
          <w:sz w:val="20"/>
          <w:szCs w:val="20"/>
          <w:lang w:val="en-GB"/>
        </w:rPr>
        <w:t xml:space="preserve">survey data. </w:t>
      </w:r>
    </w:p>
    <w:p w14:paraId="55AA095D" w14:textId="77777777" w:rsidR="006013C1" w:rsidRPr="00293D82" w:rsidRDefault="006013C1" w:rsidP="00293D82">
      <w:pPr>
        <w:jc w:val="both"/>
        <w:rPr>
          <w:color w:val="000000"/>
          <w:sz w:val="20"/>
          <w:szCs w:val="20"/>
          <w:lang w:val="en-GB"/>
        </w:rPr>
      </w:pPr>
    </w:p>
    <w:p w14:paraId="5D7C4919" w14:textId="77777777" w:rsidR="00293D82" w:rsidRDefault="00293D82" w:rsidP="00293D82">
      <w:pPr>
        <w:pStyle w:val="ListParagraph"/>
        <w:spacing w:line="480" w:lineRule="auto"/>
        <w:ind w:left="0"/>
        <w:rPr>
          <w:lang w:val="en-GB"/>
        </w:rPr>
      </w:pPr>
    </w:p>
    <w:p w14:paraId="4C2B493D" w14:textId="72992666" w:rsidR="00ED071E" w:rsidRDefault="00ED071E" w:rsidP="00293D82">
      <w:pPr>
        <w:pStyle w:val="ListParagraph"/>
        <w:spacing w:line="480" w:lineRule="auto"/>
        <w:ind w:left="0"/>
        <w:rPr>
          <w:lang w:val="en-GB"/>
        </w:rPr>
      </w:pPr>
      <w:r>
        <w:rPr>
          <w:lang w:val="en-GB"/>
        </w:rPr>
        <w:br w:type="page"/>
      </w:r>
    </w:p>
    <w:p w14:paraId="3B7B8BA5" w14:textId="464E97A9" w:rsidR="001617B1" w:rsidRPr="0060752A" w:rsidRDefault="001617B1" w:rsidP="00293D82">
      <w:pPr>
        <w:pStyle w:val="ListParagraph"/>
        <w:spacing w:line="480" w:lineRule="auto"/>
        <w:ind w:left="0"/>
        <w:rPr>
          <w:rFonts w:cstheme="minorHAnsi"/>
        </w:rPr>
      </w:pPr>
      <w:r w:rsidRPr="0060752A">
        <w:rPr>
          <w:lang w:val="en-GB"/>
        </w:rPr>
        <w:lastRenderedPageBreak/>
        <w:t xml:space="preserve">Figure </w:t>
      </w:r>
      <w:r w:rsidR="00AA6B09">
        <w:rPr>
          <w:lang w:val="en-GB"/>
        </w:rPr>
        <w:t>S</w:t>
      </w:r>
      <w:r w:rsidRPr="0060752A">
        <w:rPr>
          <w:lang w:val="en-GB"/>
        </w:rPr>
        <w:t xml:space="preserve">A1. </w:t>
      </w:r>
      <w:r w:rsidRPr="0060752A">
        <w:rPr>
          <w:lang w:val="lv-LV"/>
        </w:rPr>
        <w:t xml:space="preserve">Self-reported relative productivity, by quartile of </w:t>
      </w:r>
      <w:r w:rsidR="00AA6B09">
        <w:rPr>
          <w:rFonts w:cstheme="minorHAnsi"/>
        </w:rPr>
        <w:t>c</w:t>
      </w:r>
      <w:r w:rsidRPr="0060752A">
        <w:rPr>
          <w:rFonts w:cstheme="minorHAnsi"/>
        </w:rPr>
        <w:t>onscientiousness</w:t>
      </w:r>
    </w:p>
    <w:p w14:paraId="0DA90B97" w14:textId="77777777" w:rsidR="001617B1" w:rsidRPr="0060752A" w:rsidRDefault="001617B1" w:rsidP="00293D82">
      <w:pPr>
        <w:spacing w:line="480" w:lineRule="auto"/>
        <w:jc w:val="both"/>
        <w:rPr>
          <w:lang w:val="en-GB"/>
        </w:rPr>
      </w:pPr>
    </w:p>
    <w:p w14:paraId="292E60BF" w14:textId="77777777" w:rsidR="001617B1" w:rsidRPr="0060752A" w:rsidRDefault="001617B1" w:rsidP="00293D82">
      <w:pPr>
        <w:spacing w:line="480" w:lineRule="auto"/>
        <w:jc w:val="both"/>
        <w:rPr>
          <w:lang w:val="en-GB"/>
        </w:rPr>
      </w:pPr>
    </w:p>
    <w:p w14:paraId="73423E66" w14:textId="77777777" w:rsidR="001617B1" w:rsidRPr="0060752A" w:rsidRDefault="001617B1" w:rsidP="001617B1">
      <w:pPr>
        <w:jc w:val="center"/>
        <w:rPr>
          <w:lang w:val="en-GB"/>
        </w:rPr>
      </w:pPr>
      <w:r w:rsidRPr="0060752A">
        <w:rPr>
          <w:noProof/>
          <w:lang w:eastAsia="en-US"/>
        </w:rPr>
        <w:drawing>
          <wp:inline distT="0" distB="0" distL="0" distR="0" wp14:anchorId="5AB84EF3" wp14:editId="6BB99731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60C60A" w14:textId="77777777" w:rsidR="001617B1" w:rsidRPr="0060752A" w:rsidRDefault="001617B1" w:rsidP="001617B1">
      <w:pPr>
        <w:jc w:val="both"/>
        <w:rPr>
          <w:lang w:val="en-GB"/>
        </w:rPr>
      </w:pPr>
    </w:p>
    <w:p w14:paraId="3EC2199F" w14:textId="65D958C5" w:rsidR="006013C1" w:rsidRDefault="001617B1" w:rsidP="00C2433A">
      <w:pPr>
        <w:jc w:val="both"/>
        <w:rPr>
          <w:sz w:val="20"/>
          <w:szCs w:val="20"/>
          <w:lang w:val="en-GB"/>
        </w:rPr>
      </w:pPr>
      <w:r w:rsidRPr="00C2433A">
        <w:rPr>
          <w:sz w:val="20"/>
          <w:szCs w:val="20"/>
          <w:lang w:val="en-GB"/>
        </w:rPr>
        <w:t>Note</w:t>
      </w:r>
      <w:r w:rsidR="005210F8">
        <w:rPr>
          <w:sz w:val="20"/>
          <w:szCs w:val="20"/>
          <w:lang w:val="en-GB"/>
        </w:rPr>
        <w:t>s</w:t>
      </w:r>
      <w:r w:rsidRPr="00C2433A">
        <w:rPr>
          <w:sz w:val="20"/>
          <w:szCs w:val="20"/>
          <w:lang w:val="en-GB"/>
        </w:rPr>
        <w:t xml:space="preserve">: This </w:t>
      </w:r>
      <w:r w:rsidR="008A10B5">
        <w:rPr>
          <w:sz w:val="20"/>
          <w:szCs w:val="20"/>
          <w:lang w:val="en-GB"/>
        </w:rPr>
        <w:t>f</w:t>
      </w:r>
      <w:r w:rsidRPr="00C2433A">
        <w:rPr>
          <w:sz w:val="20"/>
          <w:szCs w:val="20"/>
          <w:lang w:val="en-GB"/>
        </w:rPr>
        <w:t xml:space="preserve">igure displays the share of respondents reporting to be more productive at home/in office by quartile of </w:t>
      </w:r>
      <w:r w:rsidR="005210F8">
        <w:rPr>
          <w:sz w:val="20"/>
          <w:szCs w:val="20"/>
          <w:lang w:val="en-GB"/>
        </w:rPr>
        <w:t>c</w:t>
      </w:r>
      <w:r w:rsidRPr="00C2433A">
        <w:rPr>
          <w:sz w:val="20"/>
          <w:szCs w:val="20"/>
          <w:lang w:val="en-GB"/>
        </w:rPr>
        <w:t xml:space="preserve">onscientiousness. Quartiles are approximate, since the scale of </w:t>
      </w:r>
      <w:r w:rsidR="005210F8">
        <w:rPr>
          <w:sz w:val="20"/>
          <w:szCs w:val="20"/>
          <w:lang w:val="en-GB"/>
        </w:rPr>
        <w:t>c</w:t>
      </w:r>
      <w:r w:rsidRPr="00C2433A">
        <w:rPr>
          <w:sz w:val="20"/>
          <w:szCs w:val="20"/>
          <w:lang w:val="en-GB"/>
        </w:rPr>
        <w:t>onscientiousness is discrete.</w:t>
      </w:r>
    </w:p>
    <w:p w14:paraId="0966FA7F" w14:textId="2CB25AC2" w:rsidR="006013C1" w:rsidRPr="002912D3" w:rsidRDefault="006013C1" w:rsidP="003719B2">
      <w:pPr>
        <w:jc w:val="both"/>
        <w:rPr>
          <w:sz w:val="20"/>
          <w:szCs w:val="20"/>
          <w:lang w:val="en-GB"/>
        </w:rPr>
      </w:pPr>
      <w:r w:rsidRPr="002912D3">
        <w:rPr>
          <w:sz w:val="20"/>
          <w:szCs w:val="20"/>
          <w:lang w:val="en-GB"/>
        </w:rPr>
        <w:t xml:space="preserve">Source: Our own calculations based on </w:t>
      </w:r>
      <w:r>
        <w:rPr>
          <w:sz w:val="20"/>
          <w:szCs w:val="20"/>
          <w:lang w:val="en-GB"/>
        </w:rPr>
        <w:t xml:space="preserve">our </w:t>
      </w:r>
      <w:r w:rsidRPr="002912D3">
        <w:rPr>
          <w:sz w:val="20"/>
          <w:szCs w:val="20"/>
          <w:lang w:val="en-GB"/>
        </w:rPr>
        <w:t xml:space="preserve">survey data. </w:t>
      </w:r>
    </w:p>
    <w:p w14:paraId="4E9A588E" w14:textId="4EA47E54" w:rsidR="001617B1" w:rsidRPr="003719B2" w:rsidRDefault="001617B1" w:rsidP="00262062">
      <w:pPr>
        <w:spacing w:line="480" w:lineRule="auto"/>
        <w:jc w:val="both"/>
        <w:rPr>
          <w:sz w:val="20"/>
          <w:szCs w:val="20"/>
          <w:lang w:val="en-GB"/>
        </w:rPr>
      </w:pPr>
    </w:p>
    <w:p w14:paraId="12442125" w14:textId="77777777" w:rsidR="001617B1" w:rsidRPr="0060752A" w:rsidRDefault="001617B1" w:rsidP="00262062">
      <w:pPr>
        <w:spacing w:line="480" w:lineRule="auto"/>
        <w:jc w:val="both"/>
        <w:rPr>
          <w:lang w:val="en-GB"/>
        </w:rPr>
      </w:pPr>
    </w:p>
    <w:p w14:paraId="54793E34" w14:textId="77777777" w:rsidR="004B3058" w:rsidRPr="0060752A" w:rsidRDefault="004B3058" w:rsidP="00262062">
      <w:pPr>
        <w:spacing w:line="480" w:lineRule="auto"/>
        <w:jc w:val="both"/>
        <w:rPr>
          <w:b/>
          <w:lang w:val="en-GB"/>
        </w:rPr>
      </w:pPr>
    </w:p>
    <w:p w14:paraId="4A5422B6" w14:textId="77777777" w:rsidR="004B3058" w:rsidRPr="0060752A" w:rsidRDefault="004B3058" w:rsidP="00262062">
      <w:pPr>
        <w:spacing w:line="480" w:lineRule="auto"/>
        <w:jc w:val="both"/>
        <w:rPr>
          <w:b/>
          <w:lang w:val="en-GB"/>
        </w:rPr>
      </w:pPr>
    </w:p>
    <w:p w14:paraId="18C48772" w14:textId="77777777" w:rsidR="004B3058" w:rsidRPr="0060752A" w:rsidRDefault="004B3058" w:rsidP="00262062">
      <w:pPr>
        <w:spacing w:line="480" w:lineRule="auto"/>
        <w:jc w:val="both"/>
        <w:rPr>
          <w:b/>
          <w:lang w:val="en-GB"/>
        </w:rPr>
      </w:pPr>
    </w:p>
    <w:p w14:paraId="468CE666" w14:textId="77777777" w:rsidR="004B3058" w:rsidRPr="0060752A" w:rsidRDefault="004B3058" w:rsidP="00262062">
      <w:pPr>
        <w:spacing w:line="480" w:lineRule="auto"/>
        <w:jc w:val="both"/>
        <w:rPr>
          <w:b/>
          <w:lang w:val="en-GB"/>
        </w:rPr>
      </w:pPr>
    </w:p>
    <w:p w14:paraId="266FA38F" w14:textId="77777777" w:rsidR="004B3058" w:rsidRPr="0060752A" w:rsidRDefault="004B3058" w:rsidP="00262062">
      <w:pPr>
        <w:spacing w:line="480" w:lineRule="auto"/>
        <w:jc w:val="both"/>
        <w:rPr>
          <w:b/>
          <w:lang w:val="en-GB"/>
        </w:rPr>
      </w:pPr>
    </w:p>
    <w:p w14:paraId="23E269E3" w14:textId="77777777" w:rsidR="004B3058" w:rsidRPr="0060752A" w:rsidRDefault="004B3058" w:rsidP="00262062">
      <w:pPr>
        <w:spacing w:line="480" w:lineRule="auto"/>
        <w:jc w:val="both"/>
        <w:rPr>
          <w:b/>
          <w:lang w:val="en-GB"/>
        </w:rPr>
      </w:pPr>
    </w:p>
    <w:p w14:paraId="4004E123" w14:textId="77777777" w:rsidR="004B3058" w:rsidRPr="0060752A" w:rsidRDefault="004B3058" w:rsidP="00262062">
      <w:pPr>
        <w:spacing w:line="480" w:lineRule="auto"/>
        <w:jc w:val="both"/>
        <w:rPr>
          <w:b/>
          <w:lang w:val="en-GB"/>
        </w:rPr>
      </w:pPr>
    </w:p>
    <w:p w14:paraId="3BEC63A8" w14:textId="77777777" w:rsidR="004B3058" w:rsidRPr="0060752A" w:rsidRDefault="004B3058" w:rsidP="004B3058">
      <w:pPr>
        <w:rPr>
          <w:lang w:val="en-GB"/>
        </w:rPr>
      </w:pPr>
      <w:r w:rsidRPr="0060752A">
        <w:rPr>
          <w:lang w:val="en-GB"/>
        </w:rPr>
        <w:br w:type="page"/>
      </w:r>
    </w:p>
    <w:p w14:paraId="76B7EF8E" w14:textId="09F7F7F2" w:rsidR="004B3058" w:rsidRPr="0082677E" w:rsidRDefault="004B3058" w:rsidP="0082677E">
      <w:pPr>
        <w:pStyle w:val="Heading2"/>
        <w:rPr>
          <w:bCs/>
          <w:lang w:val="en-GB"/>
        </w:rPr>
      </w:pPr>
      <w:r w:rsidRPr="0082677E">
        <w:rPr>
          <w:bCs/>
          <w:lang w:val="en-GB"/>
        </w:rPr>
        <w:lastRenderedPageBreak/>
        <w:t>Appendix B</w:t>
      </w:r>
      <w:r w:rsidR="005210F8" w:rsidRPr="0082677E">
        <w:rPr>
          <w:bCs/>
          <w:lang w:val="en-GB"/>
        </w:rPr>
        <w:t>.</w:t>
      </w:r>
      <w:r w:rsidR="00595608" w:rsidRPr="0082677E">
        <w:rPr>
          <w:bCs/>
          <w:lang w:val="en-GB"/>
        </w:rPr>
        <w:t xml:space="preserve"> </w:t>
      </w:r>
      <w:r w:rsidRPr="0082677E">
        <w:rPr>
          <w:bCs/>
          <w:lang w:val="en-GB"/>
        </w:rPr>
        <w:t xml:space="preserve">Analysis of the reservation value associated with WFH: </w:t>
      </w:r>
      <w:r w:rsidR="00463410" w:rsidRPr="0082677E">
        <w:rPr>
          <w:bCs/>
          <w:lang w:val="en-GB"/>
        </w:rPr>
        <w:t>T</w:t>
      </w:r>
      <w:r w:rsidRPr="0082677E">
        <w:rPr>
          <w:bCs/>
          <w:lang w:val="en-GB"/>
        </w:rPr>
        <w:t>echnical details</w:t>
      </w:r>
    </w:p>
    <w:p w14:paraId="096E1E63" w14:textId="77777777" w:rsidR="004B3058" w:rsidRPr="0060752A" w:rsidRDefault="004B3058" w:rsidP="00262062">
      <w:pPr>
        <w:spacing w:line="480" w:lineRule="auto"/>
        <w:jc w:val="both"/>
        <w:rPr>
          <w:lang w:val="en-GB"/>
        </w:rPr>
      </w:pPr>
    </w:p>
    <w:p w14:paraId="22FB721A" w14:textId="6EC3C780" w:rsidR="004B3058" w:rsidRPr="0060752A" w:rsidRDefault="004B3058" w:rsidP="00262062">
      <w:pPr>
        <w:spacing w:line="480" w:lineRule="auto"/>
        <w:jc w:val="both"/>
        <w:rPr>
          <w:iCs/>
          <w:color w:val="000000"/>
          <w:lang w:val="en-GB"/>
        </w:rPr>
      </w:pPr>
      <w:r w:rsidRPr="0060752A">
        <w:rPr>
          <w:lang w:val="en-GB"/>
        </w:rPr>
        <w:t xml:space="preserve">In the survey, respondents </w:t>
      </w:r>
      <w:r w:rsidR="00F21EA8">
        <w:rPr>
          <w:lang w:val="en-GB"/>
        </w:rPr>
        <w:t>whose preferred mode of work</w:t>
      </w:r>
      <w:r w:rsidRPr="0060752A">
        <w:rPr>
          <w:lang w:val="en-GB"/>
        </w:rPr>
        <w:t xml:space="preserve"> after the pandemic </w:t>
      </w:r>
      <w:r w:rsidR="00F21EA8">
        <w:rPr>
          <w:lang w:val="en-GB"/>
        </w:rPr>
        <w:t>was “</w:t>
      </w:r>
      <w:r w:rsidRPr="0060752A">
        <w:rPr>
          <w:lang w:val="en-GB"/>
        </w:rPr>
        <w:t>at home</w:t>
      </w:r>
      <w:r w:rsidR="00F21EA8">
        <w:rPr>
          <w:lang w:val="en-GB"/>
        </w:rPr>
        <w:t>”</w:t>
      </w:r>
      <w:r w:rsidRPr="0060752A">
        <w:rPr>
          <w:lang w:val="en-GB"/>
        </w:rPr>
        <w:t xml:space="preserve"> (or </w:t>
      </w:r>
      <w:r w:rsidR="00F21EA8">
        <w:rPr>
          <w:lang w:val="en-GB"/>
        </w:rPr>
        <w:t>“</w:t>
      </w:r>
      <w:r w:rsidRPr="0060752A">
        <w:rPr>
          <w:lang w:val="en-GB"/>
        </w:rPr>
        <w:t>mostly at home</w:t>
      </w:r>
      <w:r w:rsidR="00F21EA8">
        <w:rPr>
          <w:lang w:val="en-GB"/>
        </w:rPr>
        <w:t>”</w:t>
      </w:r>
      <w:r w:rsidRPr="0060752A">
        <w:rPr>
          <w:lang w:val="en-GB"/>
        </w:rPr>
        <w:t>) were asked “</w:t>
      </w:r>
      <w:r w:rsidRPr="003719B2">
        <w:rPr>
          <w:color w:val="000000"/>
          <w:lang w:val="en-GB"/>
        </w:rPr>
        <w:t xml:space="preserve">By how much </w:t>
      </w:r>
      <w:r w:rsidR="00BE5A45" w:rsidRPr="003719B2">
        <w:rPr>
          <w:color w:val="000000"/>
          <w:lang w:val="en-GB"/>
        </w:rPr>
        <w:t xml:space="preserve">would </w:t>
      </w:r>
      <w:r w:rsidRPr="003719B2">
        <w:rPr>
          <w:color w:val="000000"/>
          <w:lang w:val="en-GB"/>
        </w:rPr>
        <w:t xml:space="preserve">your monthly pay </w:t>
      </w:r>
      <w:r w:rsidR="00BE5A45" w:rsidRPr="003719B2">
        <w:rPr>
          <w:color w:val="000000"/>
          <w:lang w:val="en-GB"/>
        </w:rPr>
        <w:t xml:space="preserve">need to </w:t>
      </w:r>
      <w:r w:rsidRPr="003719B2">
        <w:rPr>
          <w:color w:val="000000"/>
          <w:lang w:val="en-GB"/>
        </w:rPr>
        <w:t>go up to make you choose working in office?”</w:t>
      </w:r>
      <w:r w:rsidRPr="0060752A">
        <w:rPr>
          <w:i/>
          <w:iCs/>
          <w:color w:val="000000"/>
          <w:lang w:val="en-GB"/>
        </w:rPr>
        <w:t xml:space="preserve"> </w:t>
      </w:r>
      <w:r w:rsidRPr="0060752A">
        <w:rPr>
          <w:iCs/>
          <w:color w:val="000000"/>
          <w:lang w:val="en-GB"/>
        </w:rPr>
        <w:t xml:space="preserve">Of these respondents, 574 quoted some amount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</m:oMath>
      <w:r w:rsidRPr="0060752A">
        <w:rPr>
          <w:iCs/>
          <w:color w:val="000000"/>
          <w:lang w:val="en-GB"/>
        </w:rPr>
        <w:t xml:space="preserve"> (which we interpret as the </w:t>
      </w:r>
      <w:r w:rsidRPr="003B568D">
        <w:rPr>
          <w:color w:val="000000"/>
          <w:lang w:val="en-GB"/>
        </w:rPr>
        <w:t xml:space="preserve">reservation </w:t>
      </w:r>
      <w:r w:rsidRPr="00D1682C">
        <w:rPr>
          <w:i/>
          <w:iCs/>
          <w:color w:val="000000"/>
          <w:lang w:val="en-GB"/>
        </w:rPr>
        <w:t xml:space="preserve">value for leaving </w:t>
      </w:r>
      <w:r w:rsidRPr="00866D17">
        <w:rPr>
          <w:i/>
          <w:iCs/>
          <w:color w:val="000000"/>
          <w:lang w:val="en-GB"/>
        </w:rPr>
        <w:t>WFH</w:t>
      </w:r>
      <w:r w:rsidRPr="003B568D">
        <w:rPr>
          <w:color w:val="000000"/>
          <w:lang w:val="en-GB"/>
        </w:rPr>
        <w:t>,</w:t>
      </w:r>
      <w:r w:rsidRPr="0060752A">
        <w:rPr>
          <w:i/>
          <w:iCs/>
          <w:color w:val="000000"/>
          <w:lang w:val="en-GB"/>
        </w:rPr>
        <w:t xml:space="preserve"> </w:t>
      </w:r>
      <w:r w:rsidRPr="0060752A">
        <w:rPr>
          <w:iCs/>
          <w:color w:val="000000"/>
          <w:lang w:val="en-GB"/>
        </w:rPr>
        <w:t xml:space="preserve">or the subjective </w:t>
      </w:r>
      <w:r w:rsidRPr="0060752A">
        <w:rPr>
          <w:i/>
          <w:iCs/>
          <w:color w:val="000000"/>
          <w:lang w:val="en-GB"/>
        </w:rPr>
        <w:t>value of WFH</w:t>
      </w:r>
      <w:r w:rsidRPr="0060752A">
        <w:rPr>
          <w:iCs/>
          <w:color w:val="000000"/>
          <w:lang w:val="en-GB"/>
        </w:rPr>
        <w:t>), but 506 chose the answer “I would in any case choose to work at home”, thus formally stating an “infinite” value of WFH. Plausibly, the</w:t>
      </w:r>
      <w:r w:rsidR="007F1CE4">
        <w:rPr>
          <w:iCs/>
          <w:color w:val="000000"/>
          <w:lang w:val="en-GB"/>
        </w:rPr>
        <w:t xml:space="preserve"> </w:t>
      </w:r>
      <w:r w:rsidRPr="0060752A">
        <w:rPr>
          <w:iCs/>
          <w:color w:val="000000"/>
          <w:lang w:val="en-GB"/>
        </w:rPr>
        <w:t xml:space="preserve">value </w:t>
      </w:r>
      <w:r w:rsidR="007F1CE4">
        <w:rPr>
          <w:iCs/>
          <w:color w:val="000000"/>
          <w:lang w:val="en-GB"/>
        </w:rPr>
        <w:t xml:space="preserve">they assign to </w:t>
      </w:r>
      <w:r w:rsidRPr="0060752A">
        <w:rPr>
          <w:iCs/>
          <w:color w:val="000000"/>
          <w:lang w:val="en-GB"/>
        </w:rPr>
        <w:t xml:space="preserve">WFH is </w:t>
      </w:r>
      <w:r w:rsidR="007F1CE4">
        <w:rPr>
          <w:iCs/>
          <w:color w:val="000000"/>
          <w:lang w:val="en-GB"/>
        </w:rPr>
        <w:t>simply</w:t>
      </w:r>
      <w:r w:rsidR="007F1CE4" w:rsidRPr="0060752A">
        <w:rPr>
          <w:iCs/>
          <w:color w:val="000000"/>
          <w:lang w:val="en-GB"/>
        </w:rPr>
        <w:t xml:space="preserve"> </w:t>
      </w:r>
      <w:r w:rsidRPr="0060752A">
        <w:rPr>
          <w:iCs/>
          <w:color w:val="000000"/>
          <w:lang w:val="en-GB"/>
        </w:rPr>
        <w:t xml:space="preserve">larger than any realistic wage premium their employers can offer. </w:t>
      </w:r>
    </w:p>
    <w:p w14:paraId="0FB42588" w14:textId="3E58B3F0" w:rsidR="004B3058" w:rsidRPr="0060752A" w:rsidRDefault="0031086B" w:rsidP="0070611A">
      <w:pPr>
        <w:spacing w:line="480" w:lineRule="auto"/>
        <w:ind w:firstLine="720"/>
        <w:jc w:val="both"/>
        <w:rPr>
          <w:iCs/>
          <w:color w:val="000000"/>
          <w:lang w:val="en-GB"/>
        </w:rPr>
      </w:pPr>
      <w:r>
        <w:rPr>
          <w:iCs/>
          <w:color w:val="000000"/>
          <w:lang w:val="en-GB"/>
        </w:rPr>
        <w:t>Similarly</w:t>
      </w:r>
      <w:r w:rsidR="004B3058" w:rsidRPr="0060752A">
        <w:rPr>
          <w:iCs/>
          <w:color w:val="000000"/>
          <w:lang w:val="en-GB"/>
        </w:rPr>
        <w:t xml:space="preserve">, </w:t>
      </w:r>
      <w:r w:rsidR="004B3058" w:rsidRPr="0060752A">
        <w:rPr>
          <w:lang w:val="en-GB"/>
        </w:rPr>
        <w:t xml:space="preserve">the respondents whose preferred mode of work after the pandemic </w:t>
      </w:r>
      <w:r w:rsidR="00182ADD">
        <w:rPr>
          <w:lang w:val="en-GB"/>
        </w:rPr>
        <w:t>was</w:t>
      </w:r>
      <w:r w:rsidR="004B3058" w:rsidRPr="0060752A">
        <w:rPr>
          <w:lang w:val="en-GB"/>
        </w:rPr>
        <w:t xml:space="preserve"> “in office” or “mostly in office” were asked “</w:t>
      </w:r>
      <w:r w:rsidR="004B3058" w:rsidRPr="003B568D">
        <w:rPr>
          <w:color w:val="000000"/>
          <w:lang w:val="en-GB"/>
        </w:rPr>
        <w:t>By how much should your monthly pay go up to make you choose working from home?”</w:t>
      </w:r>
      <w:r w:rsidR="004B3058" w:rsidRPr="0060752A">
        <w:rPr>
          <w:iCs/>
          <w:color w:val="000000"/>
          <w:lang w:val="en-GB"/>
        </w:rPr>
        <w:t xml:space="preserve"> Among them,</w:t>
      </w:r>
      <w:r w:rsidR="004B3058" w:rsidRPr="0060752A">
        <w:rPr>
          <w:lang w:val="en-GB"/>
        </w:rPr>
        <w:t xml:space="preserve"> 288 respondents quoted their </w:t>
      </w:r>
      <w:r w:rsidR="004B3058" w:rsidRPr="0060752A">
        <w:rPr>
          <w:i/>
          <w:lang w:val="en-GB"/>
        </w:rPr>
        <w:t>value</w:t>
      </w:r>
      <w:r w:rsidR="004B3058" w:rsidRPr="0060752A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O</m:t>
            </m:r>
          </m:sub>
        </m:sSub>
      </m:oMath>
      <w:r w:rsidR="004B3058" w:rsidRPr="0060752A">
        <w:rPr>
          <w:lang w:val="en-GB"/>
        </w:rPr>
        <w:t xml:space="preserve"> </w:t>
      </w:r>
      <w:r w:rsidR="00D40921">
        <w:rPr>
          <w:iCs/>
          <w:lang w:val="en-GB"/>
        </w:rPr>
        <w:t xml:space="preserve">for </w:t>
      </w:r>
      <w:r w:rsidR="004B3058" w:rsidRPr="0060752A">
        <w:rPr>
          <w:lang w:val="en-GB"/>
        </w:rPr>
        <w:t xml:space="preserve">WFO; for this group, we set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</m:oMath>
      <w:r w:rsidR="004B3058" w:rsidRPr="0060752A">
        <w:rPr>
          <w:iCs/>
          <w:color w:val="000000"/>
          <w:lang w:val="en-GB"/>
        </w:rPr>
        <w:t xml:space="preserve"> = </w:t>
      </w:r>
      <w:r w:rsidR="004B3058" w:rsidRPr="0060752A">
        <w:rPr>
          <w:iCs/>
          <w:color w:val="000000"/>
          <w:lang w:val="en-GB"/>
        </w:rPr>
        <w:sym w:font="Symbol" w:char="F02D"/>
      </w:r>
      <w:r w:rsidR="004B3058" w:rsidRPr="0060752A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O</m:t>
            </m:r>
          </m:sub>
        </m:sSub>
      </m:oMath>
      <w:r w:rsidR="004B3058" w:rsidRPr="0060752A">
        <w:rPr>
          <w:lang w:val="en-GB"/>
        </w:rPr>
        <w:t xml:space="preserve">. On the other hand, 191 respondents answered: </w:t>
      </w:r>
      <w:r w:rsidR="004B3058" w:rsidRPr="0060752A">
        <w:rPr>
          <w:iCs/>
          <w:color w:val="000000"/>
          <w:lang w:val="en-GB"/>
        </w:rPr>
        <w:t xml:space="preserve">“I would in any case choose to work in office”, thus formally revealing an “infinite”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O</m:t>
            </m:r>
          </m:sub>
        </m:sSub>
      </m:oMath>
      <w:r w:rsidR="004B3058" w:rsidRPr="0060752A">
        <w:rPr>
          <w:color w:val="000000"/>
          <w:lang w:val="en-GB"/>
        </w:rPr>
        <w:t xml:space="preserve"> (hence,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  <m:r>
          <w:rPr>
            <w:rFonts w:ascii="Cambria Math" w:hAnsi="Cambria Math"/>
            <w:color w:val="000000"/>
            <w:lang w:val="en-GB"/>
          </w:rPr>
          <m:t>= - ∞</m:t>
        </m:r>
      </m:oMath>
      <w:r w:rsidR="004B3058" w:rsidRPr="0060752A">
        <w:rPr>
          <w:iCs/>
          <w:color w:val="000000"/>
          <w:lang w:val="en-GB"/>
        </w:rPr>
        <w:t xml:space="preserve">). </w:t>
      </w:r>
      <w:r w:rsidR="009725F5">
        <w:rPr>
          <w:iCs/>
          <w:color w:val="000000"/>
          <w:lang w:val="en-GB"/>
        </w:rPr>
        <w:t>Lastly</w:t>
      </w:r>
      <w:r w:rsidR="004B3058" w:rsidRPr="0060752A">
        <w:rPr>
          <w:iCs/>
          <w:color w:val="000000"/>
          <w:lang w:val="en-GB"/>
        </w:rPr>
        <w:t xml:space="preserve">, we assign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</m:oMath>
      <w:r w:rsidR="004B3058" w:rsidRPr="0060752A">
        <w:rPr>
          <w:iCs/>
          <w:color w:val="000000"/>
          <w:lang w:val="en-GB"/>
        </w:rPr>
        <w:t xml:space="preserve"> = 0 for respondents indifferent between </w:t>
      </w:r>
      <w:r w:rsidR="009725F5">
        <w:rPr>
          <w:iCs/>
          <w:color w:val="000000"/>
          <w:lang w:val="en-GB"/>
        </w:rPr>
        <w:t>WFH</w:t>
      </w:r>
      <w:r w:rsidR="004B3058" w:rsidRPr="0060752A">
        <w:rPr>
          <w:iCs/>
          <w:color w:val="000000"/>
          <w:lang w:val="en-GB"/>
        </w:rPr>
        <w:t xml:space="preserve"> or </w:t>
      </w:r>
      <w:r w:rsidR="009725F5">
        <w:rPr>
          <w:iCs/>
          <w:color w:val="000000"/>
          <w:lang w:val="en-GB"/>
        </w:rPr>
        <w:t>WF</w:t>
      </w:r>
      <w:r w:rsidR="00D1682C">
        <w:rPr>
          <w:iCs/>
          <w:color w:val="000000"/>
          <w:lang w:val="en-GB"/>
        </w:rPr>
        <w:t>O</w:t>
      </w:r>
      <w:r w:rsidR="004B3058" w:rsidRPr="0060752A">
        <w:rPr>
          <w:iCs/>
          <w:color w:val="000000"/>
          <w:lang w:val="en-GB"/>
        </w:rPr>
        <w:t xml:space="preserve"> (</w:t>
      </w:r>
      <m:oMath>
        <m:r>
          <w:rPr>
            <w:rFonts w:ascii="Cambria Math" w:hAnsi="Cambria Math"/>
            <w:color w:val="000000"/>
            <w:lang w:val="en-GB"/>
          </w:rPr>
          <m:t>N=169</m:t>
        </m:r>
      </m:oMath>
      <w:r w:rsidR="004B3058" w:rsidRPr="0060752A">
        <w:rPr>
          <w:iCs/>
          <w:color w:val="000000"/>
          <w:lang w:val="en-GB"/>
        </w:rPr>
        <w:t>).</w:t>
      </w:r>
    </w:p>
    <w:p w14:paraId="4C94104B" w14:textId="58B5C6F1" w:rsidR="004B3058" w:rsidRPr="0060752A" w:rsidRDefault="004B3058" w:rsidP="0070611A">
      <w:pPr>
        <w:spacing w:line="480" w:lineRule="auto"/>
        <w:ind w:firstLine="720"/>
        <w:jc w:val="both"/>
        <w:rPr>
          <w:iCs/>
          <w:color w:val="000000"/>
          <w:lang w:val="en-GB"/>
        </w:rPr>
      </w:pPr>
      <w:r w:rsidRPr="0060752A">
        <w:rPr>
          <w:iCs/>
          <w:color w:val="000000"/>
          <w:lang w:val="en-GB"/>
        </w:rPr>
        <w:t xml:space="preserve">To sum up, the value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</m:oMath>
      <w:r w:rsidRPr="0060752A">
        <w:rPr>
          <w:iCs/>
          <w:color w:val="000000"/>
          <w:lang w:val="en-GB"/>
        </w:rPr>
        <w:t xml:space="preserve"> of WFH is a specific number for 574</w:t>
      </w:r>
      <w:r w:rsidR="00B23A5A">
        <w:rPr>
          <w:iCs/>
          <w:color w:val="000000"/>
          <w:lang w:val="en-GB"/>
        </w:rPr>
        <w:t xml:space="preserve"> </w:t>
      </w:r>
      <w:r w:rsidRPr="0060752A">
        <w:rPr>
          <w:iCs/>
          <w:color w:val="000000"/>
          <w:lang w:val="en-GB"/>
        </w:rPr>
        <w:t>+ 288 + 169 =</w:t>
      </w:r>
      <w:r w:rsidR="00B23A5A">
        <w:rPr>
          <w:iCs/>
          <w:color w:val="000000"/>
          <w:lang w:val="en-GB"/>
        </w:rPr>
        <w:t xml:space="preserve"> </w:t>
      </w:r>
      <w:r w:rsidRPr="0060752A">
        <w:rPr>
          <w:iCs/>
          <w:color w:val="000000"/>
          <w:lang w:val="en-GB"/>
        </w:rPr>
        <w:t>1</w:t>
      </w:r>
      <w:r w:rsidR="00B23A5A">
        <w:rPr>
          <w:iCs/>
          <w:color w:val="000000"/>
          <w:lang w:val="en-GB"/>
        </w:rPr>
        <w:t>,</w:t>
      </w:r>
      <w:r w:rsidRPr="0060752A">
        <w:rPr>
          <w:iCs/>
          <w:color w:val="000000"/>
          <w:lang w:val="en-GB"/>
        </w:rPr>
        <w:t xml:space="preserve">031 respondents, while it is “infinite” for 506 + 191 = 697 respondents. After excluding 30 observations with missing values </w:t>
      </w:r>
      <w:r w:rsidR="00B23A5A">
        <w:rPr>
          <w:iCs/>
          <w:color w:val="000000"/>
          <w:lang w:val="en-GB"/>
        </w:rPr>
        <w:t>for</w:t>
      </w:r>
      <w:r w:rsidR="00B23A5A" w:rsidRPr="0060752A">
        <w:rPr>
          <w:iCs/>
          <w:color w:val="000000"/>
          <w:lang w:val="en-GB"/>
        </w:rPr>
        <w:t xml:space="preserve"> </w:t>
      </w:r>
      <w:r w:rsidRPr="0060752A">
        <w:rPr>
          <w:iCs/>
          <w:color w:val="000000"/>
          <w:lang w:val="en-GB"/>
        </w:rPr>
        <w:t>personality traits or other important variables, the working sample includes 1</w:t>
      </w:r>
      <w:r w:rsidR="002667FD">
        <w:rPr>
          <w:iCs/>
          <w:color w:val="000000"/>
          <w:lang w:val="en-GB"/>
        </w:rPr>
        <w:t>,</w:t>
      </w:r>
      <w:r w:rsidRPr="0060752A">
        <w:rPr>
          <w:iCs/>
          <w:color w:val="000000"/>
          <w:lang w:val="en-GB"/>
        </w:rPr>
        <w:t>698 respondents. To account for censoring (the cases with</w:t>
      </w:r>
      <w:r w:rsidR="0095524C">
        <w:rPr>
          <w:iCs/>
          <w:color w:val="000000"/>
          <w:lang w:val="en-GB"/>
        </w:rPr>
        <w:t xml:space="preserve"> an</w:t>
      </w:r>
      <w:r w:rsidRPr="0060752A">
        <w:rPr>
          <w:iCs/>
          <w:color w:val="000000"/>
          <w:lang w:val="en-GB"/>
        </w:rPr>
        <w:t xml:space="preserve"> infinite subjective value </w:t>
      </w:r>
      <w:r w:rsidR="004955FA">
        <w:rPr>
          <w:iCs/>
          <w:color w:val="000000"/>
          <w:lang w:val="en-GB"/>
        </w:rPr>
        <w:t>for</w:t>
      </w:r>
      <w:r w:rsidRPr="0060752A">
        <w:rPr>
          <w:iCs/>
          <w:color w:val="000000"/>
          <w:lang w:val="en-GB"/>
        </w:rPr>
        <w:t xml:space="preserve"> WFH), we apply </w:t>
      </w:r>
      <w:r w:rsidR="005A5C98" w:rsidRPr="0060752A">
        <w:rPr>
          <w:iCs/>
          <w:color w:val="000000"/>
          <w:lang w:val="en-GB"/>
        </w:rPr>
        <w:t>two</w:t>
      </w:r>
      <w:r w:rsidRPr="0060752A">
        <w:rPr>
          <w:iCs/>
          <w:color w:val="000000"/>
          <w:lang w:val="en-GB"/>
        </w:rPr>
        <w:t xml:space="preserve"> approaches: (i) winsoriz</w:t>
      </w:r>
      <w:r w:rsidR="005A5C98" w:rsidRPr="0060752A">
        <w:rPr>
          <w:iCs/>
          <w:color w:val="000000"/>
          <w:lang w:val="en-GB"/>
        </w:rPr>
        <w:t xml:space="preserve">ation; </w:t>
      </w:r>
      <w:r w:rsidR="0031086B">
        <w:rPr>
          <w:iCs/>
          <w:color w:val="000000"/>
          <w:lang w:val="en-GB"/>
        </w:rPr>
        <w:t xml:space="preserve">and </w:t>
      </w:r>
      <w:r w:rsidR="005A5C98" w:rsidRPr="0060752A">
        <w:rPr>
          <w:iCs/>
          <w:color w:val="000000"/>
          <w:lang w:val="en-GB"/>
        </w:rPr>
        <w:t>(ii) interval regression</w:t>
      </w:r>
      <w:r w:rsidRPr="0060752A">
        <w:rPr>
          <w:iCs/>
          <w:color w:val="000000"/>
          <w:lang w:val="en-GB"/>
        </w:rPr>
        <w:t xml:space="preserve">. </w:t>
      </w:r>
      <w:r w:rsidR="002432B3" w:rsidRPr="0060752A">
        <w:rPr>
          <w:iCs/>
          <w:color w:val="000000"/>
          <w:lang w:val="en-GB"/>
        </w:rPr>
        <w:t>Irrespective of the approach, for the econometric analysis of the covariates of the subjective value of WFH</w:t>
      </w:r>
      <w:r w:rsidR="00FA1A1F">
        <w:rPr>
          <w:iCs/>
          <w:color w:val="000000"/>
          <w:lang w:val="en-GB"/>
        </w:rPr>
        <w:t>,</w:t>
      </w:r>
      <w:r w:rsidR="002432B3" w:rsidRPr="0060752A" w:rsidDel="00444D70">
        <w:rPr>
          <w:iCs/>
          <w:color w:val="000000"/>
          <w:lang w:val="en-GB"/>
        </w:rPr>
        <w:t xml:space="preserve"> </w:t>
      </w:r>
      <w:r w:rsidR="002432B3" w:rsidRPr="0060752A">
        <w:rPr>
          <w:iCs/>
          <w:color w:val="000000"/>
          <w:lang w:val="en-GB"/>
        </w:rPr>
        <w:t>we use a log-transform of</w:t>
      </w:r>
      <w:r w:rsidR="00FA1A1F">
        <w:rPr>
          <w:iCs/>
          <w:color w:val="000000"/>
          <w:lang w:val="en-GB"/>
        </w:rPr>
        <w:t xml:space="preserve"> </w:t>
      </w:r>
      <m:oMath>
        <m:r>
          <w:rPr>
            <w:rFonts w:ascii="Cambria Math" w:hAnsi="Cambria Math"/>
            <w:color w:val="000000"/>
            <w:lang w:val="en-GB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</m:oMath>
      <w:r w:rsidR="002432B3" w:rsidRPr="0060752A">
        <w:rPr>
          <w:iCs/>
          <w:color w:val="000000"/>
          <w:lang w:val="en-GB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func>
              <m:funcPr>
                <m:ctrlPr>
                  <w:rPr>
                    <w:rFonts w:ascii="Cambria Math" w:hAnsi="Cambria Math"/>
                    <w:i/>
                    <w:iCs/>
                    <w:color w:val="000000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 xml:space="preserve">V= 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color w:val="000000"/>
                <w:lang w:val="en-GB"/>
              </w:rPr>
              <m:t>log⁡</m:t>
            </m:r>
            <m:r>
              <w:rPr>
                <w:rFonts w:ascii="Cambria Math" w:hAnsi="Cambria Math"/>
                <w:color w:val="000000"/>
                <w:lang w:val="en-GB"/>
              </w:rPr>
              <m:t>(V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  <m:r>
          <w:rPr>
            <w:rFonts w:ascii="Cambria Math" w:hAnsi="Cambria Math"/>
            <w:color w:val="000000"/>
            <w:lang w:val="en-GB"/>
          </w:rPr>
          <m:t>)</m:t>
        </m:r>
      </m:oMath>
      <w:r w:rsidR="002432B3" w:rsidRPr="0060752A">
        <w:rPr>
          <w:iCs/>
          <w:color w:val="000000"/>
          <w:lang w:val="en-GB"/>
        </w:rPr>
        <w:t xml:space="preserve"> if</w:t>
      </w:r>
      <w:r w:rsidR="002667FD">
        <w:rPr>
          <w:iCs/>
          <w:color w:val="000000"/>
          <w:lang w:val="en-GB"/>
        </w:rPr>
        <w:t xml:space="preserve"> </w:t>
      </w:r>
      <m:oMath>
        <m:r>
          <w:rPr>
            <w:rFonts w:ascii="Cambria Math" w:hAnsi="Cambria Math"/>
            <w:color w:val="000000"/>
            <w:lang w:val="en-GB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  <m:r>
          <w:rPr>
            <w:rFonts w:ascii="Cambria Math" w:hAnsi="Cambria Math"/>
            <w:color w:val="000000"/>
            <w:lang w:val="en-GB"/>
          </w:rPr>
          <m:t>&gt;0</m:t>
        </m:r>
      </m:oMath>
      <w:r w:rsidR="002432B3" w:rsidRPr="0060752A">
        <w:rPr>
          <w:iCs/>
          <w:color w:val="000000"/>
          <w:lang w:val="en-GB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func>
              <m:funcPr>
                <m:ctrlPr>
                  <w:rPr>
                    <w:rFonts w:ascii="Cambria Math" w:hAnsi="Cambria Math"/>
                    <w:i/>
                    <w:iCs/>
                    <w:color w:val="000000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 xml:space="preserve">V= 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color w:val="000000"/>
                <w:lang w:val="en-GB"/>
              </w:rPr>
              <m:t>-log⁡</m:t>
            </m:r>
            <m:r>
              <w:rPr>
                <w:rFonts w:ascii="Cambria Math" w:hAnsi="Cambria Math"/>
                <w:color w:val="000000"/>
                <w:lang w:val="en-GB"/>
              </w:rPr>
              <m:t>(|V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  <m:r>
          <w:rPr>
            <w:rFonts w:ascii="Cambria Math" w:hAnsi="Cambria Math"/>
            <w:color w:val="000000"/>
            <w:lang w:val="en-GB"/>
          </w:rPr>
          <m:t>|)</m:t>
        </m:r>
      </m:oMath>
      <w:r w:rsidR="002432B3" w:rsidRPr="0060752A">
        <w:rPr>
          <w:iCs/>
          <w:color w:val="000000"/>
          <w:lang w:val="en-GB"/>
        </w:rPr>
        <w:t xml:space="preserve"> if</w:t>
      </w:r>
      <w:r w:rsidR="00A170A6">
        <w:rPr>
          <w:iCs/>
          <w:color w:val="000000"/>
          <w:lang w:val="en-GB"/>
        </w:rPr>
        <w:t xml:space="preserve"> </w:t>
      </w:r>
      <m:oMath>
        <m:r>
          <w:rPr>
            <w:rFonts w:ascii="Cambria Math" w:hAnsi="Cambria Math"/>
            <w:color w:val="000000"/>
            <w:lang w:val="en-GB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  <m:r>
          <w:rPr>
            <w:rFonts w:ascii="Cambria Math" w:hAnsi="Cambria Math"/>
            <w:color w:val="000000"/>
            <w:lang w:val="en-GB"/>
          </w:rPr>
          <m:t>&lt;0</m:t>
        </m:r>
      </m:oMath>
      <w:r w:rsidR="002432B3" w:rsidRPr="0060752A">
        <w:rPr>
          <w:iCs/>
          <w:color w:val="000000"/>
          <w:lang w:val="en-GB"/>
        </w:rPr>
        <w:t xml:space="preserve">; </w:t>
      </w:r>
      <w:r w:rsidR="00FA1A1F">
        <w:rPr>
          <w:iCs/>
          <w:color w:val="000000"/>
          <w:lang w:val="en-GB"/>
        </w:rPr>
        <w:t xml:space="preserve">and </w:t>
      </w:r>
      <m:oMath>
        <m:func>
          <m:func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lang w:val="en-GB"/>
              </w:rPr>
              <m:t>log</m:t>
            </m:r>
          </m:fName>
          <m:e>
            <m:r>
              <w:rPr>
                <w:rFonts w:ascii="Cambria Math" w:hAnsi="Cambria Math"/>
                <w:color w:val="000000"/>
                <w:lang w:val="en-GB"/>
              </w:rPr>
              <m:t>V=0</m:t>
            </m:r>
          </m:e>
        </m:func>
      </m:oMath>
      <w:r w:rsidR="002432B3" w:rsidRPr="0060752A">
        <w:rPr>
          <w:iCs/>
          <w:color w:val="000000"/>
          <w:lang w:val="en-GB"/>
        </w:rPr>
        <w:t xml:space="preserve"> if</w:t>
      </w:r>
      <w:r w:rsidR="00A170A6">
        <w:rPr>
          <w:iCs/>
          <w:color w:val="000000"/>
          <w:lang w:val="en-GB"/>
        </w:rPr>
        <w:t xml:space="preserve"> </w:t>
      </w:r>
      <m:oMath>
        <m:r>
          <w:rPr>
            <w:rFonts w:ascii="Cambria Math" w:hAnsi="Cambria Math"/>
            <w:color w:val="000000"/>
            <w:lang w:val="en-GB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  <m:r>
          <w:rPr>
            <w:rFonts w:ascii="Cambria Math" w:hAnsi="Cambria Math"/>
            <w:color w:val="000000"/>
            <w:lang w:val="en-GB"/>
          </w:rPr>
          <m:t>=0</m:t>
        </m:r>
      </m:oMath>
      <w:r w:rsidR="002432B3" w:rsidRPr="0060752A">
        <w:rPr>
          <w:iCs/>
          <w:color w:val="000000"/>
          <w:lang w:val="en-GB"/>
        </w:rPr>
        <w:t xml:space="preserve">. Note that all values of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</m:oMath>
      <w:r w:rsidR="002432B3" w:rsidRPr="0060752A">
        <w:rPr>
          <w:iCs/>
          <w:color w:val="000000"/>
          <w:lang w:val="en-GB"/>
        </w:rPr>
        <w:t xml:space="preserve"> are </w:t>
      </w:r>
      <w:r w:rsidR="002432B3" w:rsidRPr="0060752A">
        <w:rPr>
          <w:iCs/>
          <w:color w:val="000000"/>
          <w:lang w:val="en-GB"/>
        </w:rPr>
        <w:lastRenderedPageBreak/>
        <w:t xml:space="preserve">integers, and our transformation does not distinguish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  <m:r>
          <w:rPr>
            <w:rFonts w:ascii="Cambria Math" w:hAnsi="Cambria Math"/>
            <w:color w:val="000000"/>
            <w:lang w:val="en-GB"/>
          </w:rPr>
          <m:t>=±1</m:t>
        </m:r>
      </m:oMath>
      <w:r w:rsidR="002432B3" w:rsidRPr="0060752A">
        <w:rPr>
          <w:iCs/>
          <w:color w:val="000000"/>
          <w:lang w:val="en-GB"/>
        </w:rPr>
        <w:t xml:space="preserve"> from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  <m:r>
          <w:rPr>
            <w:rFonts w:ascii="Cambria Math" w:hAnsi="Cambria Math"/>
            <w:color w:val="000000"/>
            <w:lang w:val="en-GB"/>
          </w:rPr>
          <m:t>=0</m:t>
        </m:r>
      </m:oMath>
      <w:r w:rsidR="002432B3" w:rsidRPr="0060752A">
        <w:rPr>
          <w:iCs/>
          <w:color w:val="000000"/>
          <w:lang w:val="en-GB"/>
        </w:rPr>
        <w:t xml:space="preserve"> (in fact, there are just two cases with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  <m:r>
          <w:rPr>
            <w:rFonts w:ascii="Cambria Math" w:hAnsi="Cambria Math"/>
            <w:color w:val="000000"/>
            <w:lang w:val="en-GB"/>
          </w:rPr>
          <m:t>=±1</m:t>
        </m:r>
      </m:oMath>
      <w:r w:rsidR="002432B3" w:rsidRPr="0060752A">
        <w:rPr>
          <w:iCs/>
          <w:color w:val="000000"/>
          <w:lang w:val="en-GB"/>
        </w:rPr>
        <w:t xml:space="preserve">). </w:t>
      </w:r>
    </w:p>
    <w:p w14:paraId="6741E270" w14:textId="5F2E523E" w:rsidR="004B3058" w:rsidRPr="0060752A" w:rsidRDefault="004B3058" w:rsidP="00262062">
      <w:pPr>
        <w:pStyle w:val="ListParagraph"/>
        <w:numPr>
          <w:ilvl w:val="0"/>
          <w:numId w:val="23"/>
        </w:numPr>
        <w:spacing w:line="480" w:lineRule="auto"/>
        <w:jc w:val="both"/>
        <w:rPr>
          <w:iCs/>
          <w:color w:val="000000"/>
          <w:lang w:val="en-GB"/>
        </w:rPr>
      </w:pPr>
      <w:r w:rsidRPr="0060752A">
        <w:rPr>
          <w:iCs/>
          <w:color w:val="000000"/>
          <w:lang w:val="en-GB"/>
        </w:rPr>
        <w:t xml:space="preserve"> </w:t>
      </w:r>
      <w:r w:rsidR="002432B3" w:rsidRPr="0060752A">
        <w:rPr>
          <w:b/>
          <w:bCs/>
          <w:i/>
          <w:iCs/>
          <w:color w:val="000000"/>
          <w:lang w:val="en-GB"/>
        </w:rPr>
        <w:t>W</w:t>
      </w:r>
      <w:r w:rsidRPr="0060752A">
        <w:rPr>
          <w:b/>
          <w:bCs/>
          <w:i/>
          <w:iCs/>
          <w:color w:val="000000"/>
          <w:lang w:val="en-GB"/>
        </w:rPr>
        <w:t>insorization</w:t>
      </w:r>
      <w:r w:rsidR="002432B3" w:rsidRPr="0060752A">
        <w:rPr>
          <w:iCs/>
          <w:color w:val="000000"/>
          <w:lang w:val="en-GB"/>
        </w:rPr>
        <w:t>.</w:t>
      </w:r>
      <w:r w:rsidRPr="0060752A">
        <w:rPr>
          <w:iCs/>
          <w:color w:val="000000"/>
          <w:lang w:val="en-GB"/>
        </w:rPr>
        <w:t xml:space="preserve"> </w:t>
      </w:r>
      <w:r w:rsidR="002432B3" w:rsidRPr="0060752A">
        <w:rPr>
          <w:iCs/>
          <w:color w:val="000000"/>
          <w:lang w:val="en-GB"/>
        </w:rPr>
        <w:t>F</w:t>
      </w:r>
      <w:r w:rsidRPr="0060752A">
        <w:rPr>
          <w:iCs/>
          <w:color w:val="000000"/>
          <w:lang w:val="en-GB"/>
        </w:rPr>
        <w:t xml:space="preserve">or the respondents with </w:t>
      </w:r>
      <w:r w:rsidR="00DC189C">
        <w:rPr>
          <w:iCs/>
          <w:color w:val="000000"/>
          <w:lang w:val="en-GB"/>
        </w:rPr>
        <w:t xml:space="preserve">a </w:t>
      </w:r>
      <w:r w:rsidRPr="0060752A">
        <w:rPr>
          <w:iCs/>
          <w:color w:val="000000"/>
          <w:lang w:val="en-GB"/>
        </w:rPr>
        <w:t xml:space="preserve">positive “infinite” value </w:t>
      </w:r>
      <w:r w:rsidR="00DC189C">
        <w:rPr>
          <w:iCs/>
          <w:color w:val="000000"/>
          <w:lang w:val="en-GB"/>
        </w:rPr>
        <w:t xml:space="preserve">for </w:t>
      </w:r>
      <w:r w:rsidRPr="0060752A">
        <w:rPr>
          <w:iCs/>
          <w:color w:val="000000"/>
          <w:lang w:val="en-GB"/>
        </w:rPr>
        <w:t>WFH</w:t>
      </w:r>
      <w:r w:rsidR="00DC189C">
        <w:rPr>
          <w:iCs/>
          <w:color w:val="000000"/>
          <w:lang w:val="en-GB"/>
        </w:rPr>
        <w:t>,</w:t>
      </w:r>
      <w:r w:rsidRPr="0060752A">
        <w:rPr>
          <w:iCs/>
          <w:color w:val="000000"/>
          <w:lang w:val="en-GB"/>
        </w:rPr>
        <w:t xml:space="preserve"> we assume that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</m:oMath>
      <w:r w:rsidRPr="0060752A">
        <w:rPr>
          <w:iCs/>
          <w:color w:val="000000"/>
          <w:lang w:val="en-GB"/>
        </w:rPr>
        <w:t xml:space="preserve"> equals the 99th percentile of the reported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</m:oMath>
      <w:r w:rsidRPr="0060752A">
        <w:rPr>
          <w:iCs/>
          <w:color w:val="000000"/>
          <w:lang w:val="en-GB"/>
        </w:rPr>
        <w:t xml:space="preserve">, which is </w:t>
      </w:r>
      <w:r w:rsidRPr="004D4028">
        <w:rPr>
          <w:iCs/>
          <w:color w:val="000000"/>
          <w:lang w:val="en-GB"/>
        </w:rPr>
        <w:t>€</w:t>
      </w:r>
      <w:r w:rsidRPr="0060752A">
        <w:rPr>
          <w:iCs/>
          <w:color w:val="000000"/>
          <w:lang w:val="en-GB"/>
        </w:rPr>
        <w:t>2</w:t>
      </w:r>
      <w:r w:rsidR="00DC189C">
        <w:rPr>
          <w:iCs/>
          <w:color w:val="000000"/>
          <w:lang w:val="en-GB"/>
        </w:rPr>
        <w:t>,</w:t>
      </w:r>
      <w:r w:rsidRPr="0060752A">
        <w:rPr>
          <w:iCs/>
          <w:color w:val="000000"/>
          <w:lang w:val="en-GB"/>
        </w:rPr>
        <w:t xml:space="preserve">000 per month. </w:t>
      </w:r>
      <w:r w:rsidR="0031086B">
        <w:rPr>
          <w:iCs/>
          <w:color w:val="000000"/>
          <w:lang w:val="en-GB"/>
        </w:rPr>
        <w:t>Similarly</w:t>
      </w:r>
      <w:r w:rsidRPr="0060752A">
        <w:rPr>
          <w:iCs/>
          <w:color w:val="000000"/>
          <w:lang w:val="en-GB"/>
        </w:rPr>
        <w:t xml:space="preserve">, for the respondents with </w:t>
      </w:r>
      <w:r w:rsidR="005810A3">
        <w:rPr>
          <w:iCs/>
          <w:color w:val="000000"/>
          <w:lang w:val="en-GB"/>
        </w:rPr>
        <w:t xml:space="preserve">a </w:t>
      </w:r>
      <w:r w:rsidRPr="0060752A">
        <w:rPr>
          <w:iCs/>
          <w:color w:val="000000"/>
          <w:lang w:val="en-GB"/>
        </w:rPr>
        <w:t xml:space="preserve">positive “infinite” value </w:t>
      </w:r>
      <w:r w:rsidR="005810A3">
        <w:rPr>
          <w:iCs/>
          <w:color w:val="000000"/>
          <w:lang w:val="en-GB"/>
        </w:rPr>
        <w:t xml:space="preserve">for </w:t>
      </w:r>
      <w:r w:rsidRPr="0060752A">
        <w:rPr>
          <w:iCs/>
          <w:color w:val="000000"/>
          <w:lang w:val="en-GB"/>
        </w:rPr>
        <w:t xml:space="preserve">WFO, we set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O</m:t>
            </m:r>
          </m:sub>
        </m:sSub>
      </m:oMath>
      <w:r w:rsidRPr="0060752A">
        <w:rPr>
          <w:lang w:val="en-GB"/>
        </w:rPr>
        <w:t xml:space="preserve"> </w:t>
      </w:r>
      <w:r w:rsidR="005810A3">
        <w:rPr>
          <w:lang w:val="en-GB"/>
        </w:rPr>
        <w:t xml:space="preserve">at </w:t>
      </w:r>
      <w:r w:rsidRPr="004D4028">
        <w:rPr>
          <w:iCs/>
          <w:color w:val="000000"/>
          <w:lang w:val="en-GB"/>
        </w:rPr>
        <w:t>€</w:t>
      </w:r>
      <w:r w:rsidR="005A5C98" w:rsidRPr="0060752A">
        <w:rPr>
          <w:iCs/>
          <w:color w:val="000000"/>
          <w:lang w:val="en-GB"/>
        </w:rPr>
        <w:t>2</w:t>
      </w:r>
      <w:r w:rsidR="005810A3">
        <w:rPr>
          <w:iCs/>
          <w:color w:val="000000"/>
          <w:lang w:val="en-GB"/>
        </w:rPr>
        <w:t>,</w:t>
      </w:r>
      <w:r w:rsidRPr="0060752A">
        <w:rPr>
          <w:iCs/>
          <w:color w:val="000000"/>
          <w:lang w:val="en-GB"/>
        </w:rPr>
        <w:t>000 per month. Given that the average net monthly wage for a full</w:t>
      </w:r>
      <w:r w:rsidR="00671D0C">
        <w:rPr>
          <w:iCs/>
          <w:color w:val="000000"/>
          <w:lang w:val="en-GB"/>
        </w:rPr>
        <w:t>-</w:t>
      </w:r>
      <w:r w:rsidRPr="0060752A">
        <w:rPr>
          <w:iCs/>
          <w:color w:val="000000"/>
          <w:lang w:val="en-GB"/>
        </w:rPr>
        <w:t xml:space="preserve">time worker in Latvia in 2021 was </w:t>
      </w:r>
      <w:r w:rsidRPr="004D4028">
        <w:rPr>
          <w:iCs/>
          <w:color w:val="000000"/>
          <w:lang w:val="en-GB"/>
        </w:rPr>
        <w:t>€</w:t>
      </w:r>
      <w:r w:rsidR="005A5C98" w:rsidRPr="0060752A">
        <w:rPr>
          <w:iCs/>
          <w:color w:val="000000"/>
          <w:lang w:val="en-GB"/>
        </w:rPr>
        <w:t>939</w:t>
      </w:r>
      <w:r w:rsidRPr="0060752A">
        <w:rPr>
          <w:iCs/>
          <w:color w:val="000000"/>
          <w:lang w:val="en-GB"/>
        </w:rPr>
        <w:t xml:space="preserve">, </w:t>
      </w:r>
      <w:r w:rsidR="00FC6659">
        <w:rPr>
          <w:iCs/>
          <w:color w:val="000000"/>
          <w:lang w:val="en-GB"/>
        </w:rPr>
        <w:t>a</w:t>
      </w:r>
      <w:r w:rsidR="00FC6659" w:rsidRPr="0060752A">
        <w:rPr>
          <w:iCs/>
          <w:color w:val="000000"/>
          <w:lang w:val="en-GB"/>
        </w:rPr>
        <w:t xml:space="preserve"> </w:t>
      </w:r>
      <w:r w:rsidR="007F18DA" w:rsidRPr="0060752A">
        <w:rPr>
          <w:iCs/>
          <w:color w:val="000000"/>
          <w:lang w:val="en-GB"/>
        </w:rPr>
        <w:t>wage premium exceeding</w:t>
      </w:r>
      <w:r w:rsidRPr="0060752A">
        <w:rPr>
          <w:iCs/>
          <w:color w:val="000000"/>
          <w:lang w:val="en-GB"/>
        </w:rPr>
        <w:t xml:space="preserve"> </w:t>
      </w:r>
      <w:r w:rsidRPr="004D4028">
        <w:rPr>
          <w:iCs/>
          <w:color w:val="000000"/>
          <w:lang w:val="en-GB"/>
        </w:rPr>
        <w:t>€</w:t>
      </w:r>
      <w:r w:rsidR="005A5C98" w:rsidRPr="0060752A">
        <w:rPr>
          <w:iCs/>
          <w:color w:val="000000"/>
          <w:lang w:val="en-GB"/>
        </w:rPr>
        <w:t>2</w:t>
      </w:r>
      <w:r w:rsidR="00FC6659">
        <w:rPr>
          <w:iCs/>
          <w:color w:val="000000"/>
          <w:lang w:val="en-GB"/>
        </w:rPr>
        <w:t>,</w:t>
      </w:r>
      <w:r w:rsidR="005A5C98" w:rsidRPr="0060752A">
        <w:rPr>
          <w:iCs/>
          <w:color w:val="000000"/>
          <w:lang w:val="en-GB"/>
        </w:rPr>
        <w:t>000</w:t>
      </w:r>
      <w:r w:rsidRPr="0060752A">
        <w:rPr>
          <w:iCs/>
          <w:color w:val="000000"/>
          <w:lang w:val="en-GB"/>
        </w:rPr>
        <w:t xml:space="preserve"> per month for changing the mode of work seems indeed unrealistic for most workers. Winsorized values of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</m:oMath>
      <w:r w:rsidR="005A5C98" w:rsidRPr="0060752A">
        <w:rPr>
          <w:iCs/>
          <w:color w:val="000000"/>
          <w:lang w:val="en-GB"/>
        </w:rPr>
        <w:t xml:space="preserve"> are realistic</w:t>
      </w:r>
      <w:r w:rsidR="005A5C98" w:rsidRPr="0060752A">
        <w:rPr>
          <w:rStyle w:val="FootnoteReference"/>
          <w:iCs/>
          <w:color w:val="000000"/>
          <w:lang w:val="en-GB"/>
        </w:rPr>
        <w:footnoteReference w:id="1"/>
      </w:r>
      <w:r w:rsidR="005A5C98" w:rsidRPr="0060752A">
        <w:rPr>
          <w:iCs/>
          <w:color w:val="000000"/>
          <w:lang w:val="en-GB"/>
        </w:rPr>
        <w:t xml:space="preserve"> </w:t>
      </w:r>
      <w:r w:rsidRPr="0060752A">
        <w:rPr>
          <w:iCs/>
          <w:color w:val="000000"/>
          <w:lang w:val="en-GB"/>
        </w:rPr>
        <w:t>and available for all 1</w:t>
      </w:r>
      <w:r w:rsidR="00057589">
        <w:rPr>
          <w:iCs/>
          <w:color w:val="000000"/>
          <w:lang w:val="en-GB"/>
        </w:rPr>
        <w:t>,</w:t>
      </w:r>
      <w:r w:rsidRPr="0060752A">
        <w:rPr>
          <w:iCs/>
          <w:color w:val="000000"/>
          <w:lang w:val="en-GB"/>
        </w:rPr>
        <w:t xml:space="preserve">698 respondents from the working sample. </w:t>
      </w:r>
    </w:p>
    <w:p w14:paraId="7FBA1714" w14:textId="77777777" w:rsidR="0060752A" w:rsidRPr="0060752A" w:rsidRDefault="0060752A" w:rsidP="00262062">
      <w:pPr>
        <w:spacing w:line="480" w:lineRule="auto"/>
        <w:jc w:val="both"/>
        <w:rPr>
          <w:iCs/>
          <w:color w:val="000000"/>
          <w:lang w:val="en-GB"/>
        </w:rPr>
      </w:pPr>
    </w:p>
    <w:p w14:paraId="09A68276" w14:textId="6A901766" w:rsidR="004B3058" w:rsidRPr="0060752A" w:rsidRDefault="0060752A" w:rsidP="00262062">
      <w:pPr>
        <w:pStyle w:val="ListParagraph"/>
        <w:numPr>
          <w:ilvl w:val="0"/>
          <w:numId w:val="23"/>
        </w:numPr>
        <w:spacing w:line="480" w:lineRule="auto"/>
        <w:jc w:val="both"/>
        <w:rPr>
          <w:color w:val="000000"/>
          <w:lang w:val="en-GB"/>
        </w:rPr>
      </w:pPr>
      <w:r w:rsidRPr="0060752A">
        <w:rPr>
          <w:b/>
          <w:bCs/>
          <w:i/>
          <w:lang w:val="en-GB"/>
        </w:rPr>
        <w:t>Interval regression</w:t>
      </w:r>
      <w:r w:rsidRPr="0060752A">
        <w:rPr>
          <w:i/>
          <w:lang w:val="en-GB"/>
        </w:rPr>
        <w:t>.</w:t>
      </w:r>
      <w:r w:rsidRPr="0060752A">
        <w:rPr>
          <w:lang w:val="en-GB"/>
        </w:rPr>
        <w:t xml:space="preserve"> We implement </w:t>
      </w:r>
      <w:r w:rsidRPr="0060752A">
        <w:rPr>
          <w:i/>
          <w:lang w:val="en-GB"/>
        </w:rPr>
        <w:t>interval regression</w:t>
      </w:r>
      <w:r w:rsidRPr="0060752A">
        <w:rPr>
          <w:lang w:val="en-GB"/>
        </w:rPr>
        <w:t xml:space="preserve"> </w:t>
      </w:r>
      <w:r w:rsidR="009C1E3A">
        <w:rPr>
          <w:lang w:val="en-GB"/>
        </w:rPr>
        <w:t>(</w:t>
      </w:r>
      <w:proofErr w:type="spellStart"/>
      <w:r w:rsidR="009C1E3A">
        <w:rPr>
          <w:lang w:val="en-GB"/>
        </w:rPr>
        <w:t>Wooldrige</w:t>
      </w:r>
      <w:proofErr w:type="spellEnd"/>
      <w:r w:rsidR="009C1E3A">
        <w:rPr>
          <w:lang w:val="en-GB"/>
        </w:rPr>
        <w:t xml:space="preserve"> </w:t>
      </w:r>
      <w:r w:rsidR="00957196">
        <w:rPr>
          <w:lang w:val="en-GB"/>
        </w:rPr>
        <w:t>2002</w:t>
      </w:r>
      <w:r w:rsidR="001B6739">
        <w:rPr>
          <w:lang w:val="en-GB"/>
        </w:rPr>
        <w:t>,</w:t>
      </w:r>
      <w:r w:rsidR="001B6739" w:rsidRPr="008F5095">
        <w:rPr>
          <w:lang w:val="en-GB"/>
        </w:rPr>
        <w:t xml:space="preserve"> sec</w:t>
      </w:r>
      <w:r w:rsidR="001B6739">
        <w:rPr>
          <w:lang w:val="en-GB"/>
        </w:rPr>
        <w:t>tion</w:t>
      </w:r>
      <w:r w:rsidR="001B6739" w:rsidRPr="008F5095">
        <w:rPr>
          <w:lang w:val="en-GB"/>
        </w:rPr>
        <w:t xml:space="preserve"> 15.2</w:t>
      </w:r>
      <w:r w:rsidR="00957196">
        <w:rPr>
          <w:lang w:val="en-GB"/>
        </w:rPr>
        <w:t xml:space="preserve">) </w:t>
      </w:r>
      <w:r w:rsidRPr="0060752A">
        <w:rPr>
          <w:lang w:val="en-GB"/>
        </w:rPr>
        <w:t xml:space="preserve">assuming </w:t>
      </w:r>
      <w:r w:rsidR="002432B3" w:rsidRPr="0060752A">
        <w:rPr>
          <w:iCs/>
          <w:color w:val="000000"/>
          <w:lang w:val="en-GB"/>
        </w:rPr>
        <w:t xml:space="preserve">an unknown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  <m:r>
          <w:rPr>
            <w:rFonts w:ascii="Cambria Math" w:hAnsi="Cambria Math"/>
            <w:color w:val="000000"/>
            <w:lang w:val="en-GB"/>
          </w:rPr>
          <m:t xml:space="preserve"> </m:t>
        </m:r>
      </m:oMath>
      <w:r w:rsidR="002432B3" w:rsidRPr="0060752A">
        <w:rPr>
          <w:iCs/>
          <w:color w:val="000000"/>
          <w:lang w:val="en-GB"/>
        </w:rPr>
        <w:t xml:space="preserve">between </w:t>
      </w:r>
      <m:oMath>
        <m:r>
          <m:rPr>
            <m:sty m:val="p"/>
          </m:rPr>
          <w:rPr>
            <w:rFonts w:ascii="Cambria Math" w:hAnsi="Cambria Math" w:cs="Calibri"/>
            <w:color w:val="000000"/>
            <w:lang w:val="en-GB"/>
          </w:rPr>
          <m:t>€</m:t>
        </m:r>
        <m:r>
          <m:rPr>
            <m:sty m:val="p"/>
          </m:rPr>
          <w:rPr>
            <w:rFonts w:ascii="Cambria Math" w:hAnsi="Cambria Math"/>
            <w:color w:val="000000"/>
            <w:lang w:val="en-GB"/>
          </w:rPr>
          <m:t>2,000</m:t>
        </m:r>
      </m:oMath>
      <w:r w:rsidR="002432B3" w:rsidRPr="0060752A">
        <w:rPr>
          <w:iCs/>
          <w:color w:val="000000"/>
          <w:lang w:val="en-GB"/>
        </w:rPr>
        <w:t xml:space="preserve"> and </w:t>
      </w:r>
      <m:oMath>
        <m:r>
          <m:rPr>
            <m:sty m:val="p"/>
          </m:rPr>
          <w:rPr>
            <w:rFonts w:ascii="Cambria Math" w:hAnsi="Cambria Math" w:cs="Calibri"/>
            <w:color w:val="000000"/>
            <w:lang w:val="en-GB"/>
          </w:rPr>
          <m:t>€</m:t>
        </m:r>
        <m:r>
          <m:rPr>
            <m:sty m:val="p"/>
          </m:rPr>
          <w:rPr>
            <w:rFonts w:ascii="Cambria Math" w:hAnsi="Cambria Math"/>
            <w:color w:val="000000"/>
            <w:lang w:val="en-GB"/>
          </w:rPr>
          <m:t>10,000</m:t>
        </m:r>
      </m:oMath>
      <w:r w:rsidR="002432B3" w:rsidRPr="0060752A">
        <w:rPr>
          <w:iCs/>
          <w:color w:val="000000"/>
          <w:lang w:val="en-GB"/>
        </w:rPr>
        <w:t xml:space="preserve"> (</w:t>
      </w:r>
      <w:r w:rsidR="002432B3" w:rsidRPr="0060752A">
        <w:rPr>
          <w:lang w:val="en-GB"/>
        </w:rPr>
        <w:sym w:font="Symbol" w:char="F02D"/>
      </w:r>
      <w:bookmarkStart w:id="0" w:name="_Hlk197936504"/>
      <w:r w:rsidR="002432B3" w:rsidRPr="00ED071E">
        <w:rPr>
          <w:iCs/>
          <w:color w:val="000000"/>
          <w:lang w:val="en-GB"/>
        </w:rPr>
        <w:t>€</w:t>
      </w:r>
      <w:bookmarkEnd w:id="0"/>
      <w:r w:rsidR="002432B3" w:rsidRPr="0060752A">
        <w:rPr>
          <w:iCs/>
          <w:color w:val="000000"/>
          <w:lang w:val="en-GB"/>
        </w:rPr>
        <w:t>10</w:t>
      </w:r>
      <w:r w:rsidR="003719B2">
        <w:rPr>
          <w:iCs/>
          <w:color w:val="000000"/>
          <w:lang w:val="en-GB"/>
        </w:rPr>
        <w:t>,</w:t>
      </w:r>
      <w:r w:rsidR="002432B3" w:rsidRPr="0060752A">
        <w:rPr>
          <w:iCs/>
          <w:color w:val="000000"/>
          <w:lang w:val="en-GB"/>
        </w:rPr>
        <w:t xml:space="preserve">000 and </w:t>
      </w:r>
      <w:r w:rsidR="002432B3" w:rsidRPr="0060752A">
        <w:rPr>
          <w:lang w:val="en-GB"/>
        </w:rPr>
        <w:sym w:font="Symbol" w:char="F02D"/>
      </w:r>
      <w:r w:rsidR="002432B3" w:rsidRPr="00ED071E">
        <w:rPr>
          <w:iCs/>
          <w:color w:val="000000"/>
          <w:lang w:val="en-GB"/>
        </w:rPr>
        <w:t>€</w:t>
      </w:r>
      <w:r w:rsidR="00595608" w:rsidRPr="0060752A">
        <w:rPr>
          <w:iCs/>
          <w:color w:val="000000"/>
          <w:lang w:val="en-GB"/>
        </w:rPr>
        <w:t>2</w:t>
      </w:r>
      <w:r w:rsidR="003719B2">
        <w:rPr>
          <w:iCs/>
          <w:color w:val="000000"/>
          <w:lang w:val="en-GB"/>
        </w:rPr>
        <w:t>,</w:t>
      </w:r>
      <w:r w:rsidR="002432B3" w:rsidRPr="0060752A">
        <w:rPr>
          <w:iCs/>
          <w:color w:val="000000"/>
          <w:lang w:val="en-GB"/>
        </w:rPr>
        <w:t xml:space="preserve">000) per month for the respondents with </w:t>
      </w:r>
      <w:r w:rsidR="00BB023F">
        <w:rPr>
          <w:iCs/>
          <w:color w:val="000000"/>
          <w:lang w:val="en-GB"/>
        </w:rPr>
        <w:t xml:space="preserve">a </w:t>
      </w:r>
      <w:r w:rsidR="002432B3" w:rsidRPr="0060752A">
        <w:rPr>
          <w:iCs/>
          <w:color w:val="000000"/>
          <w:lang w:val="en-GB"/>
        </w:rPr>
        <w:t xml:space="preserve">positive “infinite” value </w:t>
      </w:r>
      <w:r w:rsidR="00BB023F">
        <w:rPr>
          <w:iCs/>
          <w:color w:val="000000"/>
          <w:lang w:val="en-GB"/>
        </w:rPr>
        <w:t>for</w:t>
      </w:r>
      <w:r w:rsidR="002432B3" w:rsidRPr="0060752A">
        <w:rPr>
          <w:iCs/>
          <w:color w:val="000000"/>
          <w:lang w:val="en-GB"/>
        </w:rPr>
        <w:t xml:space="preserve"> WFH (WFO). Outliers with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  <m:r>
          <w:rPr>
            <w:rFonts w:ascii="Cambria Math" w:hAnsi="Cambria Math"/>
            <w:color w:val="000000"/>
            <w:lang w:val="en-GB"/>
          </w:rPr>
          <m:t>&gt;</m:t>
        </m:r>
        <m:r>
          <m:rPr>
            <m:sty m:val="p"/>
          </m:rPr>
          <w:rPr>
            <w:rFonts w:ascii="Cambria Math" w:hAnsi="Cambria Math" w:cs="Calibri"/>
            <w:color w:val="000000"/>
            <w:lang w:val="en-GB"/>
          </w:rPr>
          <m:t>€</m:t>
        </m:r>
        <m:r>
          <m:rPr>
            <m:sty m:val="p"/>
          </m:rPr>
          <w:rPr>
            <w:rFonts w:ascii="Cambria Math" w:hAnsi="Cambria Math"/>
            <w:color w:val="000000"/>
            <w:lang w:val="en-GB"/>
          </w:rPr>
          <m:t xml:space="preserve">2,000 </m:t>
        </m:r>
      </m:oMath>
      <w:r w:rsidR="002432B3" w:rsidRPr="0060752A">
        <w:rPr>
          <w:iCs/>
          <w:color w:val="000000"/>
          <w:lang w:val="en-GB"/>
        </w:rPr>
        <w:t xml:space="preserve">per month or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O</m:t>
            </m:r>
          </m:sub>
        </m:sSub>
        <m:r>
          <w:rPr>
            <w:rFonts w:ascii="Cambria Math" w:hAnsi="Cambria Math"/>
            <w:color w:val="000000"/>
            <w:lang w:val="en-GB"/>
          </w:rPr>
          <m:t>&gt;</m:t>
        </m:r>
        <m:r>
          <m:rPr>
            <m:sty m:val="p"/>
          </m:rPr>
          <w:rPr>
            <w:rFonts w:ascii="Cambria Math" w:hAnsi="Cambria Math" w:cs="Calibri"/>
            <w:color w:val="000000"/>
            <w:lang w:val="en-GB"/>
          </w:rPr>
          <m:t>€</m:t>
        </m:r>
        <m:r>
          <m:rPr>
            <m:sty m:val="p"/>
          </m:rPr>
          <w:rPr>
            <w:rFonts w:ascii="Cambria Math" w:hAnsi="Cambria Math"/>
            <w:color w:val="000000"/>
            <w:lang w:val="en-GB"/>
          </w:rPr>
          <m:t>2,000</m:t>
        </m:r>
      </m:oMath>
      <w:r w:rsidR="002432B3" w:rsidRPr="0060752A">
        <w:rPr>
          <w:color w:val="000000"/>
          <w:lang w:val="en-GB"/>
        </w:rPr>
        <w:t xml:space="preserve"> per month are treated in the same way. </w:t>
      </w:r>
      <w:r w:rsidR="002432B3" w:rsidRPr="0060752A">
        <w:rPr>
          <w:iCs/>
          <w:color w:val="000000"/>
          <w:lang w:val="en-GB"/>
        </w:rPr>
        <w:t>A</w:t>
      </w:r>
      <w:r w:rsidR="004B3058" w:rsidRPr="0060752A">
        <w:rPr>
          <w:iCs/>
          <w:color w:val="000000"/>
          <w:lang w:val="en-GB"/>
        </w:rPr>
        <w:t>c</w:t>
      </w:r>
      <w:r w:rsidR="00595608" w:rsidRPr="0060752A">
        <w:rPr>
          <w:iCs/>
          <w:color w:val="000000"/>
          <w:lang w:val="en-GB"/>
        </w:rPr>
        <w:t>cording to administrative data</w:t>
      </w:r>
      <w:r w:rsidR="00BB023F">
        <w:rPr>
          <w:iCs/>
          <w:color w:val="000000"/>
          <w:lang w:val="en-GB"/>
        </w:rPr>
        <w:t>,</w:t>
      </w:r>
      <w:r w:rsidR="00595608" w:rsidRPr="0060752A">
        <w:rPr>
          <w:rStyle w:val="FootnoteReference"/>
          <w:iCs/>
          <w:color w:val="000000"/>
          <w:lang w:val="en-GB"/>
        </w:rPr>
        <w:footnoteReference w:id="2"/>
      </w:r>
      <w:r w:rsidR="004B3058" w:rsidRPr="0060752A">
        <w:rPr>
          <w:iCs/>
          <w:color w:val="000000"/>
          <w:lang w:val="en-GB"/>
        </w:rPr>
        <w:t xml:space="preserve"> average gross monthly earnings in 2021 exceeded </w:t>
      </w:r>
      <w:r w:rsidR="00ED071E" w:rsidRPr="00ED071E">
        <w:rPr>
          <w:iCs/>
          <w:color w:val="000000"/>
          <w:lang w:val="en-GB"/>
        </w:rPr>
        <w:t>€</w:t>
      </w:r>
      <w:r w:rsidR="004B3058" w:rsidRPr="0060752A">
        <w:rPr>
          <w:iCs/>
          <w:color w:val="000000"/>
          <w:lang w:val="en-GB"/>
        </w:rPr>
        <w:t>3</w:t>
      </w:r>
      <w:r w:rsidR="00D84876">
        <w:rPr>
          <w:iCs/>
          <w:color w:val="000000"/>
          <w:lang w:val="en-GB"/>
        </w:rPr>
        <w:t>,</w:t>
      </w:r>
      <w:r w:rsidR="004B3058" w:rsidRPr="0060752A">
        <w:rPr>
          <w:iCs/>
          <w:color w:val="000000"/>
          <w:lang w:val="en-GB"/>
        </w:rPr>
        <w:t>000 for 5.3</w:t>
      </w:r>
      <w:r w:rsidR="002B0CD2">
        <w:rPr>
          <w:iCs/>
          <w:color w:val="000000"/>
          <w:lang w:val="en-GB"/>
        </w:rPr>
        <w:t> per cent</w:t>
      </w:r>
      <w:r w:rsidR="004B3058" w:rsidRPr="0060752A">
        <w:rPr>
          <w:iCs/>
          <w:color w:val="000000"/>
          <w:lang w:val="en-GB"/>
        </w:rPr>
        <w:t xml:space="preserve"> of Latvia’s employees, while just 0.8</w:t>
      </w:r>
      <w:r w:rsidR="002B0CD2">
        <w:rPr>
          <w:iCs/>
          <w:color w:val="000000"/>
          <w:lang w:val="en-GB"/>
        </w:rPr>
        <w:t> per cent</w:t>
      </w:r>
      <w:r w:rsidR="004B3058" w:rsidRPr="0060752A">
        <w:rPr>
          <w:iCs/>
          <w:color w:val="000000"/>
          <w:lang w:val="en-GB"/>
        </w:rPr>
        <w:t xml:space="preserve"> earned more than </w:t>
      </w:r>
      <w:r w:rsidR="00ED071E" w:rsidRPr="00ED071E">
        <w:rPr>
          <w:iCs/>
          <w:color w:val="000000"/>
          <w:lang w:val="en-GB"/>
        </w:rPr>
        <w:t>€</w:t>
      </w:r>
      <w:r w:rsidR="00595608" w:rsidRPr="0060752A">
        <w:rPr>
          <w:iCs/>
          <w:color w:val="000000"/>
          <w:lang w:val="en-GB"/>
        </w:rPr>
        <w:t>6</w:t>
      </w:r>
      <w:r w:rsidR="00D84876">
        <w:rPr>
          <w:iCs/>
          <w:color w:val="000000"/>
          <w:lang w:val="en-GB"/>
        </w:rPr>
        <w:t>,</w:t>
      </w:r>
      <w:r w:rsidR="00595608" w:rsidRPr="0060752A">
        <w:rPr>
          <w:iCs/>
          <w:color w:val="000000"/>
          <w:lang w:val="en-GB"/>
        </w:rPr>
        <w:t>000</w:t>
      </w:r>
      <w:r w:rsidR="004B3058" w:rsidRPr="0060752A">
        <w:rPr>
          <w:iCs/>
          <w:color w:val="000000"/>
          <w:lang w:val="en-GB"/>
        </w:rPr>
        <w:t>. This suggests that</w:t>
      </w:r>
      <w:r w:rsidR="00CE7306">
        <w:rPr>
          <w:iCs/>
          <w:color w:val="000000"/>
          <w:lang w:val="en-GB"/>
        </w:rPr>
        <w:t>,</w:t>
      </w:r>
      <w:r w:rsidR="004B3058" w:rsidRPr="0060752A">
        <w:rPr>
          <w:iCs/>
          <w:color w:val="000000"/>
          <w:lang w:val="en-GB"/>
        </w:rPr>
        <w:t xml:space="preserve"> for</w:t>
      </w:r>
      <w:r w:rsidR="00CE7306">
        <w:rPr>
          <w:iCs/>
          <w:color w:val="000000"/>
          <w:lang w:val="en-GB"/>
        </w:rPr>
        <w:t xml:space="preserve"> a</w:t>
      </w:r>
      <w:r w:rsidR="004B3058" w:rsidRPr="0060752A">
        <w:rPr>
          <w:iCs/>
          <w:color w:val="000000"/>
          <w:lang w:val="en-GB"/>
        </w:rPr>
        <w:t xml:space="preserve"> non-negligible group of workers</w:t>
      </w:r>
      <w:r w:rsidR="00CE7306">
        <w:rPr>
          <w:iCs/>
          <w:color w:val="000000"/>
          <w:lang w:val="en-GB"/>
        </w:rPr>
        <w:t>,</w:t>
      </w:r>
      <w:r w:rsidR="004B3058" w:rsidRPr="0060752A">
        <w:rPr>
          <w:iCs/>
          <w:color w:val="000000"/>
          <w:lang w:val="en-GB"/>
        </w:rPr>
        <w:t xml:space="preserve"> the subjective value of WFH can exceed </w:t>
      </w:r>
      <m:oMath>
        <m:r>
          <m:rPr>
            <m:sty m:val="p"/>
          </m:rPr>
          <w:rPr>
            <w:rFonts w:ascii="Cambria Math" w:hAnsi="Cambria Math" w:cs="Calibri"/>
            <w:color w:val="000000"/>
            <w:lang w:val="en-GB"/>
          </w:rPr>
          <m:t>€</m:t>
        </m:r>
        <m:r>
          <m:rPr>
            <m:sty m:val="p"/>
          </m:rPr>
          <w:rPr>
            <w:rFonts w:ascii="Cambria Math" w:hAnsi="Cambria Math"/>
            <w:color w:val="000000"/>
            <w:lang w:val="en-GB"/>
          </w:rPr>
          <m:t xml:space="preserve">2,000 </m:t>
        </m:r>
      </m:oMath>
      <w:r w:rsidR="004B3058" w:rsidRPr="0060752A">
        <w:rPr>
          <w:iCs/>
          <w:color w:val="000000"/>
          <w:lang w:val="en-GB"/>
        </w:rPr>
        <w:t xml:space="preserve">per month, but an upper limit of </w:t>
      </w:r>
      <m:oMath>
        <m:r>
          <m:rPr>
            <m:sty m:val="p"/>
          </m:rPr>
          <w:rPr>
            <w:rFonts w:ascii="Cambria Math" w:hAnsi="Cambria Math" w:cs="Calibri"/>
            <w:color w:val="000000"/>
            <w:lang w:val="en-GB"/>
          </w:rPr>
          <m:t>€</m:t>
        </m:r>
        <m:r>
          <m:rPr>
            <m:sty m:val="p"/>
          </m:rPr>
          <w:rPr>
            <w:rFonts w:ascii="Cambria Math" w:hAnsi="Cambria Math"/>
            <w:color w:val="000000"/>
            <w:lang w:val="en-GB"/>
          </w:rPr>
          <m:t xml:space="preserve">10,000 </m:t>
        </m:r>
      </m:oMath>
      <w:r w:rsidR="004B3058" w:rsidRPr="0060752A">
        <w:rPr>
          <w:iCs/>
          <w:color w:val="000000"/>
          <w:lang w:val="en-GB"/>
        </w:rPr>
        <w:t xml:space="preserve">per month seems reasonable for practical purposes. </w:t>
      </w:r>
    </w:p>
    <w:p w14:paraId="56E5B606" w14:textId="77777777" w:rsidR="002432B3" w:rsidRPr="002432B3" w:rsidRDefault="002432B3" w:rsidP="00262062">
      <w:pPr>
        <w:pStyle w:val="ListParagraph"/>
        <w:spacing w:line="480" w:lineRule="auto"/>
        <w:jc w:val="both"/>
        <w:rPr>
          <w:color w:val="000000"/>
          <w:lang w:val="en-GB"/>
        </w:rPr>
      </w:pPr>
    </w:p>
    <w:p w14:paraId="1E863D3D" w14:textId="3BDB2540" w:rsidR="003F5197" w:rsidRPr="000E2537" w:rsidRDefault="003B398A" w:rsidP="00FA1A1F">
      <w:pPr>
        <w:spacing w:line="480" w:lineRule="auto"/>
        <w:rPr>
          <w:b/>
          <w:bCs/>
        </w:rPr>
      </w:pPr>
      <w:r>
        <w:br w:type="column"/>
      </w:r>
      <w:r w:rsidR="00A16CD4" w:rsidRPr="000E2537">
        <w:rPr>
          <w:b/>
          <w:bCs/>
        </w:rPr>
        <w:lastRenderedPageBreak/>
        <w:t>References</w:t>
      </w:r>
    </w:p>
    <w:p w14:paraId="60320477" w14:textId="77777777" w:rsidR="004C55C6" w:rsidRDefault="004C55C6" w:rsidP="000E2537">
      <w:pPr>
        <w:spacing w:line="480" w:lineRule="auto"/>
        <w:ind w:left="720" w:hanging="720"/>
        <w:jc w:val="both"/>
      </w:pPr>
      <w:r w:rsidRPr="00D947FE">
        <w:t xml:space="preserve">Almlund, Mathilde, Angela Lee Duckworth, James Heckman, and Tim Kautz. 2011. “Personality Psychology and Economics”. In </w:t>
      </w:r>
      <w:r w:rsidRPr="00D947FE">
        <w:rPr>
          <w:i/>
        </w:rPr>
        <w:t>Handbook of the Economics of Education</w:t>
      </w:r>
      <w:r w:rsidRPr="00D947FE">
        <w:rPr>
          <w:iCs/>
        </w:rPr>
        <w:t>,</w:t>
      </w:r>
      <w:r w:rsidRPr="00D947FE">
        <w:t xml:space="preserve"> Vol. 4, edited by Eric A. Hanushek, Stephen Machin and Ludger </w:t>
      </w:r>
      <w:proofErr w:type="spellStart"/>
      <w:r w:rsidRPr="00D947FE">
        <w:t>Woessmann</w:t>
      </w:r>
      <w:proofErr w:type="spellEnd"/>
      <w:r w:rsidRPr="00D947FE">
        <w:t>, 1–181. Amsterdam: Elsevier.</w:t>
      </w:r>
    </w:p>
    <w:p w14:paraId="181116C7" w14:textId="77777777" w:rsidR="00406A9B" w:rsidRPr="00D947FE" w:rsidRDefault="00406A9B" w:rsidP="001B6739">
      <w:pPr>
        <w:spacing w:line="480" w:lineRule="auto"/>
        <w:ind w:left="720" w:hanging="720"/>
        <w:jc w:val="both"/>
      </w:pPr>
      <w:r w:rsidRPr="00D947FE">
        <w:t>Gosling, Samuel D., Peter J. Rentfrow, and William B. Swann, Jr. 2003. “A Very Brief Measure of the Big-Five Personality Domains”.</w:t>
      </w:r>
      <w:r>
        <w:t xml:space="preserve"> </w:t>
      </w:r>
      <w:r w:rsidRPr="00D947FE">
        <w:rPr>
          <w:i/>
          <w:iCs/>
        </w:rPr>
        <w:t>Journal of Research in Personality</w:t>
      </w:r>
      <w:r w:rsidRPr="00D947FE">
        <w:t> 37</w:t>
      </w:r>
      <w:r w:rsidRPr="00D947FE">
        <w:rPr>
          <w:i/>
          <w:iCs/>
        </w:rPr>
        <w:t> </w:t>
      </w:r>
      <w:r w:rsidRPr="00D947FE">
        <w:t>(6): 504</w:t>
      </w:r>
      <w:r w:rsidRPr="00D947FE">
        <w:sym w:font="Symbol" w:char="F02D"/>
      </w:r>
      <w:r w:rsidRPr="00D947FE">
        <w:t xml:space="preserve">528. </w:t>
      </w:r>
      <w:hyperlink r:id="rId9" w:history="1">
        <w:r w:rsidRPr="00D947FE">
          <w:rPr>
            <w:rStyle w:val="Hyperlink"/>
          </w:rPr>
          <w:t>https://doi.org/10.1016/S0092-6566(03)00046-1</w:t>
        </w:r>
      </w:hyperlink>
      <w:r w:rsidRPr="00D947FE">
        <w:t>.</w:t>
      </w:r>
    </w:p>
    <w:p w14:paraId="399557A9" w14:textId="3C3BD4BE" w:rsidR="000F0E64" w:rsidRPr="00C2433A" w:rsidRDefault="000F0E64" w:rsidP="000E2537">
      <w:pPr>
        <w:spacing w:line="480" w:lineRule="auto"/>
        <w:ind w:left="720" w:hanging="720"/>
        <w:jc w:val="both"/>
        <w:rPr>
          <w:sz w:val="20"/>
          <w:szCs w:val="20"/>
          <w:lang w:val="en-GB"/>
        </w:rPr>
      </w:pPr>
      <w:r w:rsidRPr="008F5095">
        <w:rPr>
          <w:lang w:val="en-GB"/>
        </w:rPr>
        <w:t>Wooldridge</w:t>
      </w:r>
      <w:r w:rsidR="00D65DEC">
        <w:rPr>
          <w:lang w:val="en-GB"/>
        </w:rPr>
        <w:t>,</w:t>
      </w:r>
      <w:r w:rsidR="00D65DEC" w:rsidRPr="00D65DEC">
        <w:rPr>
          <w:lang w:val="en-GB"/>
        </w:rPr>
        <w:t xml:space="preserve"> </w:t>
      </w:r>
      <w:r w:rsidR="00D65DEC">
        <w:rPr>
          <w:lang w:val="en-GB"/>
        </w:rPr>
        <w:t>Jeffrey M. 2002.</w:t>
      </w:r>
      <w:r w:rsidRPr="008F5095">
        <w:rPr>
          <w:lang w:val="en-GB"/>
        </w:rPr>
        <w:t xml:space="preserve"> </w:t>
      </w:r>
      <w:r w:rsidRPr="008F5095">
        <w:rPr>
          <w:i/>
          <w:iCs/>
          <w:lang w:val="en-GB"/>
        </w:rPr>
        <w:t>Econometric Analysis of Cross Section and Panel Data</w:t>
      </w:r>
      <w:r w:rsidR="001B6739">
        <w:rPr>
          <w:lang w:val="en-GB"/>
        </w:rPr>
        <w:t xml:space="preserve">. </w:t>
      </w:r>
      <w:r w:rsidRPr="008F5095">
        <w:rPr>
          <w:lang w:val="en-GB"/>
        </w:rPr>
        <w:t>Cambridge, MA: MIT Press.</w:t>
      </w:r>
    </w:p>
    <w:p w14:paraId="0A15FEA3" w14:textId="77777777" w:rsidR="00A16CD4" w:rsidRPr="00E7092F" w:rsidRDefault="00A16CD4" w:rsidP="00FA1A1F">
      <w:pPr>
        <w:spacing w:line="480" w:lineRule="auto"/>
      </w:pPr>
    </w:p>
    <w:sectPr w:rsidR="00A16CD4" w:rsidRPr="00E7092F" w:rsidSect="00323177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6D9F" w14:textId="77777777" w:rsidR="00FE34F2" w:rsidRDefault="00FE34F2" w:rsidP="00E7092F">
      <w:r>
        <w:separator/>
      </w:r>
    </w:p>
  </w:endnote>
  <w:endnote w:type="continuationSeparator" w:id="0">
    <w:p w14:paraId="52816A61" w14:textId="77777777" w:rsidR="00FE34F2" w:rsidRDefault="00FE34F2" w:rsidP="00E7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EJF F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463179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93440F" w14:textId="77777777" w:rsidR="003134CA" w:rsidRDefault="003134CA" w:rsidP="00E87C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1A6DC93" w14:textId="77777777" w:rsidR="003134CA" w:rsidRDefault="003134CA" w:rsidP="00E87C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260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1807B" w14:textId="22820009" w:rsidR="003134CA" w:rsidRDefault="003134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6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9EF76A" w14:textId="77777777" w:rsidR="003134CA" w:rsidRDefault="003134CA" w:rsidP="00E87C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A7B3" w14:textId="77777777" w:rsidR="00FE34F2" w:rsidRDefault="00FE34F2" w:rsidP="00E7092F">
      <w:r>
        <w:separator/>
      </w:r>
    </w:p>
  </w:footnote>
  <w:footnote w:type="continuationSeparator" w:id="0">
    <w:p w14:paraId="6730B393" w14:textId="77777777" w:rsidR="00FE34F2" w:rsidRDefault="00FE34F2" w:rsidP="00E7092F">
      <w:r>
        <w:continuationSeparator/>
      </w:r>
    </w:p>
  </w:footnote>
  <w:footnote w:id="1">
    <w:p w14:paraId="07C097F7" w14:textId="4C56F8DC" w:rsidR="003134CA" w:rsidRPr="005A5C98" w:rsidRDefault="003134CA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60752A">
        <w:rPr>
          <w:lang w:val="en-GB"/>
        </w:rPr>
        <w:t xml:space="preserve">Note that 14 respondents reported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H</m:t>
            </m:r>
          </m:sub>
        </m:sSub>
      </m:oMath>
      <w:r w:rsidRPr="0060752A">
        <w:rPr>
          <w:iCs/>
          <w:color w:val="000000"/>
          <w:lang w:val="en-GB"/>
        </w:rPr>
        <w:t xml:space="preserve"> or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lang w:val="en-GB"/>
              </w:rPr>
              <m:t>O</m:t>
            </m:r>
          </m:sub>
        </m:sSub>
      </m:oMath>
      <w:r w:rsidRPr="0060752A">
        <w:rPr>
          <w:iCs/>
          <w:color w:val="000000"/>
          <w:lang w:val="en-GB"/>
        </w:rPr>
        <w:t xml:space="preserve"> equal to </w:t>
      </w:r>
      <m:oMath>
        <m:r>
          <m:rPr>
            <m:sty m:val="p"/>
          </m:rPr>
          <w:rPr>
            <w:rFonts w:ascii="Cambria Math" w:hAnsi="Cambria Math" w:cs="Calibri"/>
            <w:color w:val="000000"/>
            <w:lang w:val="en-GB"/>
          </w:rPr>
          <m:t>€</m:t>
        </m:r>
        <m:r>
          <m:rPr>
            <m:sty m:val="p"/>
          </m:rPr>
          <w:rPr>
            <w:rFonts w:ascii="Cambria Math" w:hAnsi="Cambria Math"/>
            <w:color w:val="000000"/>
            <w:lang w:val="en-GB"/>
          </w:rPr>
          <m:t>2,000.</m:t>
        </m:r>
      </m:oMath>
    </w:p>
  </w:footnote>
  <w:footnote w:id="2">
    <w:p w14:paraId="7D997372" w14:textId="19C8E42D" w:rsidR="003134CA" w:rsidRPr="00595608" w:rsidRDefault="003134CA" w:rsidP="003C0BE3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See</w:t>
      </w:r>
      <w:r w:rsidR="006D663D">
        <w:t xml:space="preserve"> </w:t>
      </w:r>
      <w:r w:rsidR="006D663D" w:rsidRPr="005911C2">
        <w:t>Central Statistical Bureau of Latvia</w:t>
      </w:r>
      <w:r w:rsidR="006D663D">
        <w:t xml:space="preserve">, </w:t>
      </w:r>
      <w:r w:rsidR="003C0BE3">
        <w:t>“</w:t>
      </w:r>
      <w:r w:rsidR="000E2537" w:rsidRPr="000E2537">
        <w:t>Annual Average Number of Employees by Monthly Gross Income and Sector 2008–2024</w:t>
      </w:r>
      <w:r w:rsidR="003D27F0">
        <w:t>”,</w:t>
      </w:r>
      <w:r w:rsidR="003C0BE3">
        <w:t xml:space="preserve"> </w:t>
      </w:r>
      <w:hyperlink r:id="rId1" w:history="1">
        <w:r w:rsidR="003C0BE3" w:rsidRPr="003C0BE3">
          <w:rPr>
            <w:rStyle w:val="Hyperlink"/>
          </w:rPr>
          <w:t>https://data.stat.gov.lv/pxweb/en/OSP_PUB/START__EMP__DS__DSN/DSN010/</w:t>
        </w:r>
      </w:hyperlink>
      <w:r w:rsidR="00E472CD">
        <w:t xml:space="preserve"> (accessed 20 May 2025).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60E6"/>
    <w:multiLevelType w:val="hybridMultilevel"/>
    <w:tmpl w:val="4D4CBA30"/>
    <w:lvl w:ilvl="0" w:tplc="4942D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E4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9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ED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A6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EA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4B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86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46B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D16DB1"/>
    <w:multiLevelType w:val="hybridMultilevel"/>
    <w:tmpl w:val="EDBE24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37B"/>
    <w:multiLevelType w:val="multilevel"/>
    <w:tmpl w:val="1DF6B2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4A65B01"/>
    <w:multiLevelType w:val="hybridMultilevel"/>
    <w:tmpl w:val="DCECDE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43BC"/>
    <w:multiLevelType w:val="hybridMultilevel"/>
    <w:tmpl w:val="04D47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7031"/>
    <w:multiLevelType w:val="hybridMultilevel"/>
    <w:tmpl w:val="745A11BE"/>
    <w:lvl w:ilvl="0" w:tplc="8B640CE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2F68E2"/>
    <w:multiLevelType w:val="hybridMultilevel"/>
    <w:tmpl w:val="94B441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F7C36"/>
    <w:multiLevelType w:val="multilevel"/>
    <w:tmpl w:val="EED054E4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87CE2"/>
    <w:multiLevelType w:val="hybridMultilevel"/>
    <w:tmpl w:val="246A5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1825"/>
    <w:multiLevelType w:val="multilevel"/>
    <w:tmpl w:val="F85C9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4057000"/>
    <w:multiLevelType w:val="multilevel"/>
    <w:tmpl w:val="1C044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7503D7A"/>
    <w:multiLevelType w:val="hybridMultilevel"/>
    <w:tmpl w:val="B270142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6011B6"/>
    <w:multiLevelType w:val="multilevel"/>
    <w:tmpl w:val="FAAC6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E97719A"/>
    <w:multiLevelType w:val="multilevel"/>
    <w:tmpl w:val="D2F6E6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9F1E86"/>
    <w:multiLevelType w:val="hybridMultilevel"/>
    <w:tmpl w:val="EC181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61B56"/>
    <w:multiLevelType w:val="multilevel"/>
    <w:tmpl w:val="AB206D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A309B1"/>
    <w:multiLevelType w:val="hybridMultilevel"/>
    <w:tmpl w:val="D49863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D6C8C"/>
    <w:multiLevelType w:val="hybridMultilevel"/>
    <w:tmpl w:val="6CCC3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4C8E"/>
    <w:multiLevelType w:val="hybridMultilevel"/>
    <w:tmpl w:val="12BABF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B4E30"/>
    <w:multiLevelType w:val="multilevel"/>
    <w:tmpl w:val="BF02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7F7C1A"/>
    <w:multiLevelType w:val="hybridMultilevel"/>
    <w:tmpl w:val="F74A96CE"/>
    <w:lvl w:ilvl="0" w:tplc="D64EE9D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008F8"/>
    <w:multiLevelType w:val="multilevel"/>
    <w:tmpl w:val="A29234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7C77C7D"/>
    <w:multiLevelType w:val="hybridMultilevel"/>
    <w:tmpl w:val="8B9ED3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C3E92"/>
    <w:multiLevelType w:val="multilevel"/>
    <w:tmpl w:val="32C29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E8661E0"/>
    <w:multiLevelType w:val="hybridMultilevel"/>
    <w:tmpl w:val="E08885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F01EE"/>
    <w:multiLevelType w:val="multilevel"/>
    <w:tmpl w:val="58B2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4249A2"/>
    <w:multiLevelType w:val="hybridMultilevel"/>
    <w:tmpl w:val="23C0BF28"/>
    <w:lvl w:ilvl="0" w:tplc="DD8E3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9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2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8C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2B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EF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21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D28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08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1751580">
    <w:abstractNumId w:val="21"/>
  </w:num>
  <w:num w:numId="2" w16cid:durableId="51584748">
    <w:abstractNumId w:val="11"/>
  </w:num>
  <w:num w:numId="3" w16cid:durableId="1957446414">
    <w:abstractNumId w:val="12"/>
  </w:num>
  <w:num w:numId="4" w16cid:durableId="1602644867">
    <w:abstractNumId w:val="19"/>
  </w:num>
  <w:num w:numId="5" w16cid:durableId="528690691">
    <w:abstractNumId w:val="23"/>
  </w:num>
  <w:num w:numId="6" w16cid:durableId="907109423">
    <w:abstractNumId w:val="24"/>
  </w:num>
  <w:num w:numId="7" w16cid:durableId="1006245560">
    <w:abstractNumId w:val="20"/>
  </w:num>
  <w:num w:numId="8" w16cid:durableId="704643529">
    <w:abstractNumId w:val="16"/>
  </w:num>
  <w:num w:numId="9" w16cid:durableId="1336415692">
    <w:abstractNumId w:val="5"/>
  </w:num>
  <w:num w:numId="10" w16cid:durableId="1610623587">
    <w:abstractNumId w:val="22"/>
  </w:num>
  <w:num w:numId="11" w16cid:durableId="1790735256">
    <w:abstractNumId w:val="1"/>
  </w:num>
  <w:num w:numId="12" w16cid:durableId="486748969">
    <w:abstractNumId w:val="18"/>
  </w:num>
  <w:num w:numId="13" w16cid:durableId="1773166206">
    <w:abstractNumId w:val="6"/>
  </w:num>
  <w:num w:numId="14" w16cid:durableId="116338878">
    <w:abstractNumId w:val="26"/>
  </w:num>
  <w:num w:numId="15" w16cid:durableId="306976866">
    <w:abstractNumId w:val="0"/>
  </w:num>
  <w:num w:numId="16" w16cid:durableId="1993756299">
    <w:abstractNumId w:val="25"/>
  </w:num>
  <w:num w:numId="17" w16cid:durableId="1452086544">
    <w:abstractNumId w:val="15"/>
  </w:num>
  <w:num w:numId="18" w16cid:durableId="240910951">
    <w:abstractNumId w:val="7"/>
  </w:num>
  <w:num w:numId="19" w16cid:durableId="1563833117">
    <w:abstractNumId w:val="13"/>
  </w:num>
  <w:num w:numId="20" w16cid:durableId="1289779250">
    <w:abstractNumId w:val="9"/>
  </w:num>
  <w:num w:numId="21" w16cid:durableId="1479615456">
    <w:abstractNumId w:val="10"/>
  </w:num>
  <w:num w:numId="22" w16cid:durableId="1996836269">
    <w:abstractNumId w:val="2"/>
  </w:num>
  <w:num w:numId="23" w16cid:durableId="1682321302">
    <w:abstractNumId w:val="3"/>
  </w:num>
  <w:num w:numId="24" w16cid:durableId="1234242747">
    <w:abstractNumId w:val="4"/>
  </w:num>
  <w:num w:numId="25" w16cid:durableId="448162155">
    <w:abstractNumId w:val="14"/>
  </w:num>
  <w:num w:numId="26" w16cid:durableId="1008100916">
    <w:abstractNumId w:val="8"/>
  </w:num>
  <w:num w:numId="27" w16cid:durableId="5738574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2F"/>
    <w:rsid w:val="00001C92"/>
    <w:rsid w:val="0000318D"/>
    <w:rsid w:val="00005C98"/>
    <w:rsid w:val="00010522"/>
    <w:rsid w:val="000119AC"/>
    <w:rsid w:val="00012286"/>
    <w:rsid w:val="00013C55"/>
    <w:rsid w:val="00020D79"/>
    <w:rsid w:val="0002210A"/>
    <w:rsid w:val="0003113E"/>
    <w:rsid w:val="000318BB"/>
    <w:rsid w:val="00035E84"/>
    <w:rsid w:val="00035ED1"/>
    <w:rsid w:val="0004296E"/>
    <w:rsid w:val="00045273"/>
    <w:rsid w:val="00055B96"/>
    <w:rsid w:val="00057589"/>
    <w:rsid w:val="000604F7"/>
    <w:rsid w:val="00061B13"/>
    <w:rsid w:val="000625EC"/>
    <w:rsid w:val="00071FD3"/>
    <w:rsid w:val="000816F8"/>
    <w:rsid w:val="00087E09"/>
    <w:rsid w:val="000909DB"/>
    <w:rsid w:val="00095463"/>
    <w:rsid w:val="00095D94"/>
    <w:rsid w:val="0009739A"/>
    <w:rsid w:val="000A0984"/>
    <w:rsid w:val="000A0C0A"/>
    <w:rsid w:val="000A74BA"/>
    <w:rsid w:val="000B02EE"/>
    <w:rsid w:val="000B1C8C"/>
    <w:rsid w:val="000B6406"/>
    <w:rsid w:val="000C2AB8"/>
    <w:rsid w:val="000C6B76"/>
    <w:rsid w:val="000D0032"/>
    <w:rsid w:val="000D33D5"/>
    <w:rsid w:val="000E066E"/>
    <w:rsid w:val="000E132E"/>
    <w:rsid w:val="000E1AC4"/>
    <w:rsid w:val="000E2537"/>
    <w:rsid w:val="000F0E64"/>
    <w:rsid w:val="000F6086"/>
    <w:rsid w:val="000F7C7C"/>
    <w:rsid w:val="00100A37"/>
    <w:rsid w:val="00100CF5"/>
    <w:rsid w:val="001041FF"/>
    <w:rsid w:val="001044BC"/>
    <w:rsid w:val="0010702A"/>
    <w:rsid w:val="001124F6"/>
    <w:rsid w:val="00113A68"/>
    <w:rsid w:val="0011413F"/>
    <w:rsid w:val="00116E65"/>
    <w:rsid w:val="00120846"/>
    <w:rsid w:val="00120B56"/>
    <w:rsid w:val="00122B73"/>
    <w:rsid w:val="0012448C"/>
    <w:rsid w:val="00133913"/>
    <w:rsid w:val="00141DFE"/>
    <w:rsid w:val="001435A5"/>
    <w:rsid w:val="0014388B"/>
    <w:rsid w:val="001540FA"/>
    <w:rsid w:val="00155C0B"/>
    <w:rsid w:val="00155D1D"/>
    <w:rsid w:val="001617B1"/>
    <w:rsid w:val="00161D96"/>
    <w:rsid w:val="001657B4"/>
    <w:rsid w:val="0017226E"/>
    <w:rsid w:val="00182ADD"/>
    <w:rsid w:val="001832FB"/>
    <w:rsid w:val="0019599D"/>
    <w:rsid w:val="001A526B"/>
    <w:rsid w:val="001A5337"/>
    <w:rsid w:val="001B62E6"/>
    <w:rsid w:val="001B6739"/>
    <w:rsid w:val="001C0B20"/>
    <w:rsid w:val="001C197C"/>
    <w:rsid w:val="001C21AF"/>
    <w:rsid w:val="001D575A"/>
    <w:rsid w:val="001D6454"/>
    <w:rsid w:val="001E639A"/>
    <w:rsid w:val="001E77FB"/>
    <w:rsid w:val="001F0358"/>
    <w:rsid w:val="001F7D1B"/>
    <w:rsid w:val="00201D9B"/>
    <w:rsid w:val="00203086"/>
    <w:rsid w:val="00204C6B"/>
    <w:rsid w:val="002101FC"/>
    <w:rsid w:val="0021202B"/>
    <w:rsid w:val="00214025"/>
    <w:rsid w:val="002142D7"/>
    <w:rsid w:val="002171A1"/>
    <w:rsid w:val="00220340"/>
    <w:rsid w:val="0022306F"/>
    <w:rsid w:val="00223A7A"/>
    <w:rsid w:val="00224015"/>
    <w:rsid w:val="00224C38"/>
    <w:rsid w:val="00224D7D"/>
    <w:rsid w:val="00236535"/>
    <w:rsid w:val="002431FD"/>
    <w:rsid w:val="002432B3"/>
    <w:rsid w:val="00250437"/>
    <w:rsid w:val="0025088A"/>
    <w:rsid w:val="00250D3C"/>
    <w:rsid w:val="00260B1C"/>
    <w:rsid w:val="00262062"/>
    <w:rsid w:val="0026296A"/>
    <w:rsid w:val="002667FD"/>
    <w:rsid w:val="0027647F"/>
    <w:rsid w:val="00277868"/>
    <w:rsid w:val="0028327C"/>
    <w:rsid w:val="00286BC5"/>
    <w:rsid w:val="002875D6"/>
    <w:rsid w:val="00290BA2"/>
    <w:rsid w:val="00293D82"/>
    <w:rsid w:val="00296639"/>
    <w:rsid w:val="002A440B"/>
    <w:rsid w:val="002B0CD2"/>
    <w:rsid w:val="002B0EDA"/>
    <w:rsid w:val="002B36C4"/>
    <w:rsid w:val="002B5665"/>
    <w:rsid w:val="002B6F23"/>
    <w:rsid w:val="002C13EE"/>
    <w:rsid w:val="002C2035"/>
    <w:rsid w:val="002C23F7"/>
    <w:rsid w:val="002C2AFA"/>
    <w:rsid w:val="002C57DA"/>
    <w:rsid w:val="002D2296"/>
    <w:rsid w:val="002D52E1"/>
    <w:rsid w:val="002D5325"/>
    <w:rsid w:val="002D5EE2"/>
    <w:rsid w:val="002D672B"/>
    <w:rsid w:val="002E4263"/>
    <w:rsid w:val="002F06C1"/>
    <w:rsid w:val="002F2FBB"/>
    <w:rsid w:val="002F7E3D"/>
    <w:rsid w:val="003074C8"/>
    <w:rsid w:val="00307851"/>
    <w:rsid w:val="00307873"/>
    <w:rsid w:val="0031086B"/>
    <w:rsid w:val="00310A85"/>
    <w:rsid w:val="0031158D"/>
    <w:rsid w:val="003134CA"/>
    <w:rsid w:val="003205C1"/>
    <w:rsid w:val="00323177"/>
    <w:rsid w:val="00323FBD"/>
    <w:rsid w:val="00325E3B"/>
    <w:rsid w:val="00331969"/>
    <w:rsid w:val="00332F18"/>
    <w:rsid w:val="0033322E"/>
    <w:rsid w:val="00333D83"/>
    <w:rsid w:val="003349DC"/>
    <w:rsid w:val="003465A6"/>
    <w:rsid w:val="0034692C"/>
    <w:rsid w:val="003643FA"/>
    <w:rsid w:val="0036498C"/>
    <w:rsid w:val="00365112"/>
    <w:rsid w:val="003705CD"/>
    <w:rsid w:val="003719B2"/>
    <w:rsid w:val="00371A50"/>
    <w:rsid w:val="003732C1"/>
    <w:rsid w:val="00376080"/>
    <w:rsid w:val="003777A3"/>
    <w:rsid w:val="0038098C"/>
    <w:rsid w:val="003864C1"/>
    <w:rsid w:val="0039284F"/>
    <w:rsid w:val="003A5621"/>
    <w:rsid w:val="003A7FC1"/>
    <w:rsid w:val="003B2117"/>
    <w:rsid w:val="003B398A"/>
    <w:rsid w:val="003B3BD3"/>
    <w:rsid w:val="003B3F8D"/>
    <w:rsid w:val="003B568D"/>
    <w:rsid w:val="003C0BE3"/>
    <w:rsid w:val="003C2475"/>
    <w:rsid w:val="003C3D76"/>
    <w:rsid w:val="003D27F0"/>
    <w:rsid w:val="003D28F9"/>
    <w:rsid w:val="003D4673"/>
    <w:rsid w:val="003D4BEE"/>
    <w:rsid w:val="003E10B5"/>
    <w:rsid w:val="003E2924"/>
    <w:rsid w:val="003F5197"/>
    <w:rsid w:val="003F6E28"/>
    <w:rsid w:val="00400A87"/>
    <w:rsid w:val="0040374B"/>
    <w:rsid w:val="0040444A"/>
    <w:rsid w:val="00406A9B"/>
    <w:rsid w:val="0041088A"/>
    <w:rsid w:val="00412305"/>
    <w:rsid w:val="0041314B"/>
    <w:rsid w:val="00416632"/>
    <w:rsid w:val="00424748"/>
    <w:rsid w:val="004255B2"/>
    <w:rsid w:val="004277F9"/>
    <w:rsid w:val="00435C0D"/>
    <w:rsid w:val="00436D3F"/>
    <w:rsid w:val="00446936"/>
    <w:rsid w:val="00451032"/>
    <w:rsid w:val="0045267C"/>
    <w:rsid w:val="00453EB5"/>
    <w:rsid w:val="004615DE"/>
    <w:rsid w:val="004632C1"/>
    <w:rsid w:val="00463410"/>
    <w:rsid w:val="00477264"/>
    <w:rsid w:val="0048597B"/>
    <w:rsid w:val="004915D7"/>
    <w:rsid w:val="004943D5"/>
    <w:rsid w:val="004955FA"/>
    <w:rsid w:val="00496A60"/>
    <w:rsid w:val="004B087D"/>
    <w:rsid w:val="004B3058"/>
    <w:rsid w:val="004B36B3"/>
    <w:rsid w:val="004C0734"/>
    <w:rsid w:val="004C55C6"/>
    <w:rsid w:val="004D4028"/>
    <w:rsid w:val="004D5745"/>
    <w:rsid w:val="004D574C"/>
    <w:rsid w:val="004D5813"/>
    <w:rsid w:val="004E00E8"/>
    <w:rsid w:val="004E11C2"/>
    <w:rsid w:val="004E3FA9"/>
    <w:rsid w:val="004E3FE7"/>
    <w:rsid w:val="004E4025"/>
    <w:rsid w:val="004E6027"/>
    <w:rsid w:val="004E6150"/>
    <w:rsid w:val="004E71EF"/>
    <w:rsid w:val="004F0AEB"/>
    <w:rsid w:val="004F5000"/>
    <w:rsid w:val="00501ED9"/>
    <w:rsid w:val="00505023"/>
    <w:rsid w:val="00512603"/>
    <w:rsid w:val="005161D0"/>
    <w:rsid w:val="00516423"/>
    <w:rsid w:val="005210F8"/>
    <w:rsid w:val="00523259"/>
    <w:rsid w:val="00530DFD"/>
    <w:rsid w:val="0053197E"/>
    <w:rsid w:val="00534709"/>
    <w:rsid w:val="005355F2"/>
    <w:rsid w:val="00535FB3"/>
    <w:rsid w:val="0054262D"/>
    <w:rsid w:val="005478C2"/>
    <w:rsid w:val="00550159"/>
    <w:rsid w:val="00555E26"/>
    <w:rsid w:val="0056017B"/>
    <w:rsid w:val="00560EE0"/>
    <w:rsid w:val="00561DF0"/>
    <w:rsid w:val="00565E6A"/>
    <w:rsid w:val="00567993"/>
    <w:rsid w:val="00572685"/>
    <w:rsid w:val="0057611D"/>
    <w:rsid w:val="00576ADD"/>
    <w:rsid w:val="005810A3"/>
    <w:rsid w:val="005835DC"/>
    <w:rsid w:val="00584812"/>
    <w:rsid w:val="00590BD8"/>
    <w:rsid w:val="00590CC8"/>
    <w:rsid w:val="0059125B"/>
    <w:rsid w:val="005925E0"/>
    <w:rsid w:val="00595608"/>
    <w:rsid w:val="00596188"/>
    <w:rsid w:val="00597504"/>
    <w:rsid w:val="00597641"/>
    <w:rsid w:val="005A0CF7"/>
    <w:rsid w:val="005A5C98"/>
    <w:rsid w:val="005A62EB"/>
    <w:rsid w:val="005B56E8"/>
    <w:rsid w:val="005C09B2"/>
    <w:rsid w:val="005C30B0"/>
    <w:rsid w:val="005C5869"/>
    <w:rsid w:val="005C5A9B"/>
    <w:rsid w:val="005C5C5E"/>
    <w:rsid w:val="005D08AE"/>
    <w:rsid w:val="005D1793"/>
    <w:rsid w:val="005D4B0C"/>
    <w:rsid w:val="005E55AA"/>
    <w:rsid w:val="005F2A5F"/>
    <w:rsid w:val="006013C1"/>
    <w:rsid w:val="00603190"/>
    <w:rsid w:val="00605F74"/>
    <w:rsid w:val="0060752A"/>
    <w:rsid w:val="006120C5"/>
    <w:rsid w:val="00612DBB"/>
    <w:rsid w:val="006155FD"/>
    <w:rsid w:val="00617F67"/>
    <w:rsid w:val="00620819"/>
    <w:rsid w:val="00620A69"/>
    <w:rsid w:val="0062310B"/>
    <w:rsid w:val="00623D8F"/>
    <w:rsid w:val="0062726C"/>
    <w:rsid w:val="00631F58"/>
    <w:rsid w:val="00642770"/>
    <w:rsid w:val="006459AF"/>
    <w:rsid w:val="00647D6D"/>
    <w:rsid w:val="00651045"/>
    <w:rsid w:val="00656025"/>
    <w:rsid w:val="00661D14"/>
    <w:rsid w:val="0066324E"/>
    <w:rsid w:val="0066381D"/>
    <w:rsid w:val="00664FBE"/>
    <w:rsid w:val="00671D0C"/>
    <w:rsid w:val="0067373D"/>
    <w:rsid w:val="0067545B"/>
    <w:rsid w:val="0067579E"/>
    <w:rsid w:val="0068162A"/>
    <w:rsid w:val="00682895"/>
    <w:rsid w:val="00683D34"/>
    <w:rsid w:val="00686651"/>
    <w:rsid w:val="006926C1"/>
    <w:rsid w:val="00696B46"/>
    <w:rsid w:val="006A1A63"/>
    <w:rsid w:val="006A4892"/>
    <w:rsid w:val="006A59BB"/>
    <w:rsid w:val="006B3F2E"/>
    <w:rsid w:val="006B6361"/>
    <w:rsid w:val="006C1DB6"/>
    <w:rsid w:val="006C56DC"/>
    <w:rsid w:val="006C75CA"/>
    <w:rsid w:val="006D663D"/>
    <w:rsid w:val="006E46E7"/>
    <w:rsid w:val="006F1827"/>
    <w:rsid w:val="006F5CEB"/>
    <w:rsid w:val="00701FA5"/>
    <w:rsid w:val="007049BA"/>
    <w:rsid w:val="0070611A"/>
    <w:rsid w:val="007079AB"/>
    <w:rsid w:val="00712FB4"/>
    <w:rsid w:val="00716D74"/>
    <w:rsid w:val="00717212"/>
    <w:rsid w:val="00720B95"/>
    <w:rsid w:val="00722001"/>
    <w:rsid w:val="00722552"/>
    <w:rsid w:val="00732ECA"/>
    <w:rsid w:val="00753942"/>
    <w:rsid w:val="00756ED3"/>
    <w:rsid w:val="00757101"/>
    <w:rsid w:val="007573DB"/>
    <w:rsid w:val="00757AC9"/>
    <w:rsid w:val="00762837"/>
    <w:rsid w:val="00763227"/>
    <w:rsid w:val="00764137"/>
    <w:rsid w:val="0076501D"/>
    <w:rsid w:val="00775FFD"/>
    <w:rsid w:val="007778E8"/>
    <w:rsid w:val="007936BE"/>
    <w:rsid w:val="00793760"/>
    <w:rsid w:val="007961C1"/>
    <w:rsid w:val="00796210"/>
    <w:rsid w:val="007A0272"/>
    <w:rsid w:val="007A18C0"/>
    <w:rsid w:val="007A1E38"/>
    <w:rsid w:val="007A3A51"/>
    <w:rsid w:val="007A7505"/>
    <w:rsid w:val="007B01ED"/>
    <w:rsid w:val="007B3989"/>
    <w:rsid w:val="007D0EB0"/>
    <w:rsid w:val="007D23D0"/>
    <w:rsid w:val="007D26BE"/>
    <w:rsid w:val="007D356D"/>
    <w:rsid w:val="007D59DF"/>
    <w:rsid w:val="007E0C42"/>
    <w:rsid w:val="007E5D0D"/>
    <w:rsid w:val="007E7BFC"/>
    <w:rsid w:val="007F18DA"/>
    <w:rsid w:val="007F1CE4"/>
    <w:rsid w:val="007F744C"/>
    <w:rsid w:val="00802630"/>
    <w:rsid w:val="00805C07"/>
    <w:rsid w:val="00810076"/>
    <w:rsid w:val="00813D1D"/>
    <w:rsid w:val="0081716D"/>
    <w:rsid w:val="0082262E"/>
    <w:rsid w:val="0082406A"/>
    <w:rsid w:val="0082677E"/>
    <w:rsid w:val="0082773C"/>
    <w:rsid w:val="0083093B"/>
    <w:rsid w:val="00836140"/>
    <w:rsid w:val="00842781"/>
    <w:rsid w:val="008429A2"/>
    <w:rsid w:val="008506B8"/>
    <w:rsid w:val="00851241"/>
    <w:rsid w:val="00856A40"/>
    <w:rsid w:val="00866D17"/>
    <w:rsid w:val="0086729C"/>
    <w:rsid w:val="00870FEA"/>
    <w:rsid w:val="00881F32"/>
    <w:rsid w:val="00884A6D"/>
    <w:rsid w:val="00886B5A"/>
    <w:rsid w:val="008870E1"/>
    <w:rsid w:val="00895B55"/>
    <w:rsid w:val="008A04AB"/>
    <w:rsid w:val="008A10B5"/>
    <w:rsid w:val="008B0D32"/>
    <w:rsid w:val="008B1D2C"/>
    <w:rsid w:val="008B5229"/>
    <w:rsid w:val="008B6C64"/>
    <w:rsid w:val="008C0823"/>
    <w:rsid w:val="008C097B"/>
    <w:rsid w:val="008C6A74"/>
    <w:rsid w:val="008D0381"/>
    <w:rsid w:val="008D196E"/>
    <w:rsid w:val="008D348F"/>
    <w:rsid w:val="008D70B4"/>
    <w:rsid w:val="008E26AD"/>
    <w:rsid w:val="008F07B7"/>
    <w:rsid w:val="008F0D52"/>
    <w:rsid w:val="008F5095"/>
    <w:rsid w:val="009258CB"/>
    <w:rsid w:val="00925EC1"/>
    <w:rsid w:val="00926810"/>
    <w:rsid w:val="00927D5D"/>
    <w:rsid w:val="00930317"/>
    <w:rsid w:val="00931925"/>
    <w:rsid w:val="00932731"/>
    <w:rsid w:val="00932815"/>
    <w:rsid w:val="009349A4"/>
    <w:rsid w:val="00942D94"/>
    <w:rsid w:val="0095524C"/>
    <w:rsid w:val="00957196"/>
    <w:rsid w:val="00960049"/>
    <w:rsid w:val="009622DC"/>
    <w:rsid w:val="00965A5D"/>
    <w:rsid w:val="009725F5"/>
    <w:rsid w:val="009744CA"/>
    <w:rsid w:val="0097484B"/>
    <w:rsid w:val="00976021"/>
    <w:rsid w:val="00977D8E"/>
    <w:rsid w:val="009818D3"/>
    <w:rsid w:val="0098331A"/>
    <w:rsid w:val="0098672C"/>
    <w:rsid w:val="0099074C"/>
    <w:rsid w:val="00992C33"/>
    <w:rsid w:val="009A298D"/>
    <w:rsid w:val="009A4C6C"/>
    <w:rsid w:val="009A4C86"/>
    <w:rsid w:val="009A6DEC"/>
    <w:rsid w:val="009B247F"/>
    <w:rsid w:val="009B55F7"/>
    <w:rsid w:val="009C1E3A"/>
    <w:rsid w:val="009C67AF"/>
    <w:rsid w:val="009D372D"/>
    <w:rsid w:val="009D6E13"/>
    <w:rsid w:val="009D7ED9"/>
    <w:rsid w:val="009E0C3D"/>
    <w:rsid w:val="009E3387"/>
    <w:rsid w:val="009E4A80"/>
    <w:rsid w:val="009F0A0A"/>
    <w:rsid w:val="009F148F"/>
    <w:rsid w:val="009F4D2E"/>
    <w:rsid w:val="009F6555"/>
    <w:rsid w:val="009F6C58"/>
    <w:rsid w:val="009F7EF7"/>
    <w:rsid w:val="00A028F2"/>
    <w:rsid w:val="00A05B38"/>
    <w:rsid w:val="00A1364C"/>
    <w:rsid w:val="00A14B0A"/>
    <w:rsid w:val="00A14B28"/>
    <w:rsid w:val="00A16CD4"/>
    <w:rsid w:val="00A170A6"/>
    <w:rsid w:val="00A2075E"/>
    <w:rsid w:val="00A2185E"/>
    <w:rsid w:val="00A22096"/>
    <w:rsid w:val="00A241D4"/>
    <w:rsid w:val="00A34BAC"/>
    <w:rsid w:val="00A3696B"/>
    <w:rsid w:val="00A36F7D"/>
    <w:rsid w:val="00A45007"/>
    <w:rsid w:val="00A45934"/>
    <w:rsid w:val="00A46FC0"/>
    <w:rsid w:val="00A47035"/>
    <w:rsid w:val="00A50ECF"/>
    <w:rsid w:val="00A5102C"/>
    <w:rsid w:val="00A5407D"/>
    <w:rsid w:val="00A63B76"/>
    <w:rsid w:val="00A671EC"/>
    <w:rsid w:val="00A727D4"/>
    <w:rsid w:val="00A732F6"/>
    <w:rsid w:val="00A77187"/>
    <w:rsid w:val="00A8538F"/>
    <w:rsid w:val="00A86418"/>
    <w:rsid w:val="00A913F8"/>
    <w:rsid w:val="00A95466"/>
    <w:rsid w:val="00AA5523"/>
    <w:rsid w:val="00AA6B09"/>
    <w:rsid w:val="00AA7EFC"/>
    <w:rsid w:val="00AB40E2"/>
    <w:rsid w:val="00AC1102"/>
    <w:rsid w:val="00AC4EEB"/>
    <w:rsid w:val="00AD277E"/>
    <w:rsid w:val="00AD3DBC"/>
    <w:rsid w:val="00AD464B"/>
    <w:rsid w:val="00AD47C5"/>
    <w:rsid w:val="00AE4DD0"/>
    <w:rsid w:val="00AE72A9"/>
    <w:rsid w:val="00AF1EE8"/>
    <w:rsid w:val="00AF28A9"/>
    <w:rsid w:val="00AF4F02"/>
    <w:rsid w:val="00B02D1B"/>
    <w:rsid w:val="00B05CF5"/>
    <w:rsid w:val="00B05E73"/>
    <w:rsid w:val="00B064FA"/>
    <w:rsid w:val="00B0765F"/>
    <w:rsid w:val="00B07DAE"/>
    <w:rsid w:val="00B117BB"/>
    <w:rsid w:val="00B17748"/>
    <w:rsid w:val="00B20E93"/>
    <w:rsid w:val="00B23A5A"/>
    <w:rsid w:val="00B2621E"/>
    <w:rsid w:val="00B26B61"/>
    <w:rsid w:val="00B27231"/>
    <w:rsid w:val="00B32785"/>
    <w:rsid w:val="00B468C3"/>
    <w:rsid w:val="00B56B44"/>
    <w:rsid w:val="00B57519"/>
    <w:rsid w:val="00B616F7"/>
    <w:rsid w:val="00B638E9"/>
    <w:rsid w:val="00B66AD1"/>
    <w:rsid w:val="00B675E2"/>
    <w:rsid w:val="00B759D6"/>
    <w:rsid w:val="00B75F13"/>
    <w:rsid w:val="00B824ED"/>
    <w:rsid w:val="00B85944"/>
    <w:rsid w:val="00B901BE"/>
    <w:rsid w:val="00B93207"/>
    <w:rsid w:val="00BA19CE"/>
    <w:rsid w:val="00BA5F61"/>
    <w:rsid w:val="00BB023F"/>
    <w:rsid w:val="00BB49CF"/>
    <w:rsid w:val="00BC4CB2"/>
    <w:rsid w:val="00BC6DF0"/>
    <w:rsid w:val="00BD15E6"/>
    <w:rsid w:val="00BD4416"/>
    <w:rsid w:val="00BD4C22"/>
    <w:rsid w:val="00BE5A45"/>
    <w:rsid w:val="00BE5B14"/>
    <w:rsid w:val="00BE6879"/>
    <w:rsid w:val="00BF278C"/>
    <w:rsid w:val="00C00011"/>
    <w:rsid w:val="00C04453"/>
    <w:rsid w:val="00C04B94"/>
    <w:rsid w:val="00C05022"/>
    <w:rsid w:val="00C055F7"/>
    <w:rsid w:val="00C0581D"/>
    <w:rsid w:val="00C063EA"/>
    <w:rsid w:val="00C1306E"/>
    <w:rsid w:val="00C2433A"/>
    <w:rsid w:val="00C25F1B"/>
    <w:rsid w:val="00C338F7"/>
    <w:rsid w:val="00C340B4"/>
    <w:rsid w:val="00C44420"/>
    <w:rsid w:val="00C4642A"/>
    <w:rsid w:val="00C477BB"/>
    <w:rsid w:val="00C47FA5"/>
    <w:rsid w:val="00C509EB"/>
    <w:rsid w:val="00C536B9"/>
    <w:rsid w:val="00C56A06"/>
    <w:rsid w:val="00C60576"/>
    <w:rsid w:val="00C60E3F"/>
    <w:rsid w:val="00C64093"/>
    <w:rsid w:val="00C6590B"/>
    <w:rsid w:val="00C65C75"/>
    <w:rsid w:val="00C67DDD"/>
    <w:rsid w:val="00C7094E"/>
    <w:rsid w:val="00C82D81"/>
    <w:rsid w:val="00C92CE5"/>
    <w:rsid w:val="00C94211"/>
    <w:rsid w:val="00C94E5B"/>
    <w:rsid w:val="00CA2194"/>
    <w:rsid w:val="00CA22BC"/>
    <w:rsid w:val="00CA3723"/>
    <w:rsid w:val="00CA53CD"/>
    <w:rsid w:val="00CA58F1"/>
    <w:rsid w:val="00CA5D26"/>
    <w:rsid w:val="00CB06E9"/>
    <w:rsid w:val="00CB4747"/>
    <w:rsid w:val="00CB4FF0"/>
    <w:rsid w:val="00CB63E3"/>
    <w:rsid w:val="00CC24A4"/>
    <w:rsid w:val="00CC30DC"/>
    <w:rsid w:val="00CC746B"/>
    <w:rsid w:val="00CC7647"/>
    <w:rsid w:val="00CD4F17"/>
    <w:rsid w:val="00CE5E2C"/>
    <w:rsid w:val="00CE6186"/>
    <w:rsid w:val="00CE7306"/>
    <w:rsid w:val="00CF545A"/>
    <w:rsid w:val="00D03C19"/>
    <w:rsid w:val="00D06A8D"/>
    <w:rsid w:val="00D1682C"/>
    <w:rsid w:val="00D21C5F"/>
    <w:rsid w:val="00D249F2"/>
    <w:rsid w:val="00D30B4F"/>
    <w:rsid w:val="00D313EB"/>
    <w:rsid w:val="00D33609"/>
    <w:rsid w:val="00D34146"/>
    <w:rsid w:val="00D40909"/>
    <w:rsid w:val="00D40921"/>
    <w:rsid w:val="00D411BD"/>
    <w:rsid w:val="00D44C30"/>
    <w:rsid w:val="00D514ED"/>
    <w:rsid w:val="00D51F74"/>
    <w:rsid w:val="00D5498E"/>
    <w:rsid w:val="00D54A4E"/>
    <w:rsid w:val="00D5511C"/>
    <w:rsid w:val="00D555BE"/>
    <w:rsid w:val="00D57FBB"/>
    <w:rsid w:val="00D627B3"/>
    <w:rsid w:val="00D65DEC"/>
    <w:rsid w:val="00D662E5"/>
    <w:rsid w:val="00D671DE"/>
    <w:rsid w:val="00D718A1"/>
    <w:rsid w:val="00D727CA"/>
    <w:rsid w:val="00D778BD"/>
    <w:rsid w:val="00D80E22"/>
    <w:rsid w:val="00D82C77"/>
    <w:rsid w:val="00D84876"/>
    <w:rsid w:val="00D9254E"/>
    <w:rsid w:val="00D964B1"/>
    <w:rsid w:val="00D96825"/>
    <w:rsid w:val="00DA1CD3"/>
    <w:rsid w:val="00DB251A"/>
    <w:rsid w:val="00DC189C"/>
    <w:rsid w:val="00DC2BF4"/>
    <w:rsid w:val="00DC46A8"/>
    <w:rsid w:val="00DC59BB"/>
    <w:rsid w:val="00DD7FF9"/>
    <w:rsid w:val="00DE0B4E"/>
    <w:rsid w:val="00DE2CC1"/>
    <w:rsid w:val="00DE7CDF"/>
    <w:rsid w:val="00DF13A3"/>
    <w:rsid w:val="00DF52EA"/>
    <w:rsid w:val="00DF6B1D"/>
    <w:rsid w:val="00DF6E7B"/>
    <w:rsid w:val="00E07335"/>
    <w:rsid w:val="00E2508D"/>
    <w:rsid w:val="00E357C2"/>
    <w:rsid w:val="00E36672"/>
    <w:rsid w:val="00E379D6"/>
    <w:rsid w:val="00E41995"/>
    <w:rsid w:val="00E4411F"/>
    <w:rsid w:val="00E44461"/>
    <w:rsid w:val="00E46A71"/>
    <w:rsid w:val="00E472CD"/>
    <w:rsid w:val="00E5685D"/>
    <w:rsid w:val="00E56C8F"/>
    <w:rsid w:val="00E6448A"/>
    <w:rsid w:val="00E7024F"/>
    <w:rsid w:val="00E70657"/>
    <w:rsid w:val="00E7092F"/>
    <w:rsid w:val="00E739D0"/>
    <w:rsid w:val="00E75490"/>
    <w:rsid w:val="00E811C0"/>
    <w:rsid w:val="00E82564"/>
    <w:rsid w:val="00E843E1"/>
    <w:rsid w:val="00E846DC"/>
    <w:rsid w:val="00E84C34"/>
    <w:rsid w:val="00E8555F"/>
    <w:rsid w:val="00E87AED"/>
    <w:rsid w:val="00E87C55"/>
    <w:rsid w:val="00E918FA"/>
    <w:rsid w:val="00E94296"/>
    <w:rsid w:val="00E96EAE"/>
    <w:rsid w:val="00EA10CB"/>
    <w:rsid w:val="00EA25FC"/>
    <w:rsid w:val="00EC13A6"/>
    <w:rsid w:val="00EC27BF"/>
    <w:rsid w:val="00EC2BA9"/>
    <w:rsid w:val="00EC35AB"/>
    <w:rsid w:val="00EC42A3"/>
    <w:rsid w:val="00ED071E"/>
    <w:rsid w:val="00ED0E4E"/>
    <w:rsid w:val="00ED4DA0"/>
    <w:rsid w:val="00ED76C8"/>
    <w:rsid w:val="00EE0089"/>
    <w:rsid w:val="00EF1063"/>
    <w:rsid w:val="00EF3831"/>
    <w:rsid w:val="00EF38FF"/>
    <w:rsid w:val="00F023B1"/>
    <w:rsid w:val="00F056D3"/>
    <w:rsid w:val="00F07A92"/>
    <w:rsid w:val="00F1052C"/>
    <w:rsid w:val="00F10F12"/>
    <w:rsid w:val="00F115AA"/>
    <w:rsid w:val="00F17FFB"/>
    <w:rsid w:val="00F21EA8"/>
    <w:rsid w:val="00F222F6"/>
    <w:rsid w:val="00F23702"/>
    <w:rsid w:val="00F30D98"/>
    <w:rsid w:val="00F3154A"/>
    <w:rsid w:val="00F34F0E"/>
    <w:rsid w:val="00F356FB"/>
    <w:rsid w:val="00F373C9"/>
    <w:rsid w:val="00F43468"/>
    <w:rsid w:val="00F43A5A"/>
    <w:rsid w:val="00F5716C"/>
    <w:rsid w:val="00F60EAF"/>
    <w:rsid w:val="00F62099"/>
    <w:rsid w:val="00F646D1"/>
    <w:rsid w:val="00F701CA"/>
    <w:rsid w:val="00F72510"/>
    <w:rsid w:val="00F76FFA"/>
    <w:rsid w:val="00F84436"/>
    <w:rsid w:val="00F84AAE"/>
    <w:rsid w:val="00F87BF2"/>
    <w:rsid w:val="00F90B11"/>
    <w:rsid w:val="00F91DE0"/>
    <w:rsid w:val="00F939FA"/>
    <w:rsid w:val="00FA1A1F"/>
    <w:rsid w:val="00FA21E9"/>
    <w:rsid w:val="00FA344A"/>
    <w:rsid w:val="00FA40D2"/>
    <w:rsid w:val="00FA5358"/>
    <w:rsid w:val="00FA7503"/>
    <w:rsid w:val="00FB129F"/>
    <w:rsid w:val="00FC22DD"/>
    <w:rsid w:val="00FC2F4A"/>
    <w:rsid w:val="00FC6659"/>
    <w:rsid w:val="00FD4055"/>
    <w:rsid w:val="00FE34F2"/>
    <w:rsid w:val="00FE4464"/>
    <w:rsid w:val="00FE7AEF"/>
    <w:rsid w:val="00FE7EA0"/>
    <w:rsid w:val="00FF2B6B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D7F34"/>
  <w15:chartTrackingRefBased/>
  <w15:docId w15:val="{ADD813F1-1592-F446-8AED-8B51E021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D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0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9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E7092F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709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092F"/>
  </w:style>
  <w:style w:type="paragraph" w:styleId="FootnoteText">
    <w:name w:val="footnote text"/>
    <w:basedOn w:val="Normal"/>
    <w:link w:val="FootnoteTextChar"/>
    <w:uiPriority w:val="99"/>
    <w:unhideWhenUsed/>
    <w:rsid w:val="00E709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092F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7092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092F"/>
    <w:rPr>
      <w:color w:val="0000FF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E7092F"/>
    <w:pPr>
      <w:spacing w:line="263" w:lineRule="auto"/>
      <w:ind w:firstLine="190"/>
      <w:jc w:val="both"/>
    </w:pPr>
    <w:rPr>
      <w:rFonts w:ascii="Cambria" w:eastAsia="Cambria" w:hAnsi="Cambria" w:cs="Cambria"/>
      <w:color w:val="000000"/>
      <w:kern w:val="0"/>
      <w:sz w:val="20"/>
      <w:szCs w:val="22"/>
      <w14:ligatures w14:val="none"/>
    </w:rPr>
  </w:style>
  <w:style w:type="character" w:customStyle="1" w:styleId="footnotedescriptionChar">
    <w:name w:val="footnote description Char"/>
    <w:link w:val="footnotedescription"/>
    <w:rsid w:val="00E7092F"/>
    <w:rPr>
      <w:rFonts w:ascii="Cambria" w:eastAsia="Cambria" w:hAnsi="Cambria" w:cs="Cambria"/>
      <w:color w:val="000000"/>
      <w:kern w:val="0"/>
      <w:sz w:val="2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B30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B3058"/>
  </w:style>
  <w:style w:type="table" w:styleId="TableGrid">
    <w:name w:val="Table Grid"/>
    <w:basedOn w:val="TableNormal"/>
    <w:uiPriority w:val="39"/>
    <w:rsid w:val="004B305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3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058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058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30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058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B3058"/>
  </w:style>
  <w:style w:type="paragraph" w:styleId="BalloonText">
    <w:name w:val="Balloon Text"/>
    <w:basedOn w:val="Normal"/>
    <w:link w:val="BalloonTextChar"/>
    <w:uiPriority w:val="99"/>
    <w:semiHidden/>
    <w:unhideWhenUsed/>
    <w:rsid w:val="004B3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58"/>
    <w:rPr>
      <w:rFonts w:ascii="Segoe UI" w:eastAsia="Times New Roman" w:hAnsi="Segoe UI" w:cs="Segoe UI"/>
      <w:kern w:val="0"/>
      <w:sz w:val="18"/>
      <w:szCs w:val="18"/>
      <w:lang w:val="en-US" w:eastAsia="en-GB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30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305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B30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B3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058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customStyle="1" w:styleId="Default">
    <w:name w:val="Default"/>
    <w:rsid w:val="004B3058"/>
    <w:pPr>
      <w:autoSpaceDE w:val="0"/>
      <w:autoSpaceDN w:val="0"/>
      <w:adjustRightInd w:val="0"/>
    </w:pPr>
    <w:rPr>
      <w:rFonts w:ascii="ANEJF F+ Arial MT" w:hAnsi="ANEJF F+ Arial MT" w:cs="ANEJF F+ Arial MT"/>
      <w:color w:val="000000"/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305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3058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B3058"/>
    <w:rPr>
      <w:vertAlign w:val="superscript"/>
    </w:rPr>
  </w:style>
  <w:style w:type="character" w:customStyle="1" w:styleId="anchor-text">
    <w:name w:val="anchor-text"/>
    <w:basedOn w:val="DefaultParagraphFont"/>
    <w:rsid w:val="00992C3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4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4A80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F7D1B"/>
    <w:rPr>
      <w:color w:val="954F72" w:themeColor="followedHyperlink"/>
      <w:u w:val="single"/>
    </w:rPr>
  </w:style>
  <w:style w:type="character" w:customStyle="1" w:styleId="highwire-journal-article-marker-end">
    <w:name w:val="highwire-journal-article-marker-end"/>
    <w:basedOn w:val="DefaultParagraphFont"/>
    <w:rsid w:val="00C60E3F"/>
  </w:style>
  <w:style w:type="character" w:styleId="Emphasis">
    <w:name w:val="Emphasis"/>
    <w:basedOn w:val="DefaultParagraphFont"/>
    <w:uiPriority w:val="20"/>
    <w:qFormat/>
    <w:rsid w:val="00B17748"/>
    <w:rPr>
      <w:i/>
      <w:iCs/>
    </w:rPr>
  </w:style>
  <w:style w:type="character" w:customStyle="1" w:styleId="accordion-tabbedtab-mobile">
    <w:name w:val="accordion-tabbed__tab-mobile"/>
    <w:basedOn w:val="DefaultParagraphFont"/>
    <w:rsid w:val="00A3696B"/>
  </w:style>
  <w:style w:type="character" w:customStyle="1" w:styleId="comma-separator">
    <w:name w:val="comma-separator"/>
    <w:basedOn w:val="DefaultParagraphFont"/>
    <w:rsid w:val="00A3696B"/>
  </w:style>
  <w:style w:type="table" w:styleId="PlainTable4">
    <w:name w:val="Plain Table 4"/>
    <w:basedOn w:val="TableNormal"/>
    <w:uiPriority w:val="44"/>
    <w:rsid w:val="0075710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710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A1A6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1A63"/>
    <w:rPr>
      <w:rFonts w:ascii="Calibri" w:hAnsi="Calibri"/>
      <w:kern w:val="0"/>
      <w:sz w:val="22"/>
      <w:szCs w:val="21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23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23FB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20E9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S0092-6566(03)00046-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stat.gov.lv/pxweb/en/OSP_PUB/START__EMP__DS__DSN/DSN010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Sheet1!$J$18</c:f>
              <c:strCache>
                <c:ptCount val="1"/>
                <c:pt idx="0">
                  <c:v>more productive at home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C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Sheet1!$I$19:$I$22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Sheet1!$J$19:$J$22</c:f>
              <c:numCache>
                <c:formatCode>0.0%</c:formatCode>
                <c:ptCount val="4"/>
                <c:pt idx="0">
                  <c:v>0.22720000000000001</c:v>
                </c:pt>
                <c:pt idx="1">
                  <c:v>0.30559999999999998</c:v>
                </c:pt>
                <c:pt idx="2">
                  <c:v>0.31169999999999998</c:v>
                </c:pt>
                <c:pt idx="3">
                  <c:v>0.37419999999999998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65-0245-90FD-AB5F03142B4F}"/>
            </c:ext>
          </c:extLst>
        </c:ser>
        <c:ser>
          <c:idx val="1"/>
          <c:order val="1"/>
          <c:tx>
            <c:strRef>
              <c:f>Sheet1!$K$18</c:f>
              <c:strCache>
                <c:ptCount val="1"/>
                <c:pt idx="0">
                  <c:v>more productive in office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C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Sheet1!$I$19:$I$22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Sheet1!$K$19:$K$22</c:f>
              <c:numCache>
                <c:formatCode>0.0%</c:formatCode>
                <c:ptCount val="4"/>
                <c:pt idx="0">
                  <c:v>0.4708</c:v>
                </c:pt>
                <c:pt idx="1">
                  <c:v>0.37509999999999999</c:v>
                </c:pt>
                <c:pt idx="2">
                  <c:v>0.34860000000000002</c:v>
                </c:pt>
                <c:pt idx="3">
                  <c:v>0.29339999999999999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65-0245-90FD-AB5F03142B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1187744"/>
        <c:axId val="711182496"/>
      </c:barChart>
      <c:catAx>
        <c:axId val="711187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v-LV"/>
                  <a:t>Q</a:t>
                </a:r>
                <a:r>
                  <a:rPr lang="en-US"/>
                  <a:t>ua</a:t>
                </a:r>
                <a:r>
                  <a:rPr lang="lv-LV"/>
                  <a:t>rtiles</a:t>
                </a:r>
                <a:r>
                  <a:rPr lang="lv-LV" baseline="0"/>
                  <a:t> of </a:t>
                </a:r>
                <a:r>
                  <a:rPr lang="en-US" sz="1000" b="0" i="0" u="none" strike="noStrike" baseline="0">
                    <a:effectLst/>
                  </a:rPr>
                  <a:t>Conscientiousness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CH"/>
          </a:p>
        </c:txPr>
        <c:crossAx val="711182496"/>
        <c:crosses val="autoZero"/>
        <c:auto val="1"/>
        <c:lblAlgn val="ctr"/>
        <c:lblOffset val="100"/>
        <c:noMultiLvlLbl val="0"/>
      </c:catAx>
      <c:valAx>
        <c:axId val="71118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CH"/>
          </a:p>
        </c:txPr>
        <c:crossAx val="71118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C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C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49B9-8540-44FB-A757-09E9C16C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Gavoille</dc:creator>
  <cp:keywords/>
  <dc:description/>
  <cp:lastModifiedBy>Barrett, Esther</cp:lastModifiedBy>
  <cp:revision>2</cp:revision>
  <dcterms:created xsi:type="dcterms:W3CDTF">2025-07-28T08:22:00Z</dcterms:created>
  <dcterms:modified xsi:type="dcterms:W3CDTF">2025-07-28T08:22:00Z</dcterms:modified>
</cp:coreProperties>
</file>